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Fiserv, Inc. (FISV) — Q2 2026 Earnings Preview</w:t>
      </w:r>
    </w:p>
    <w:p>
      <w:r>
        <w:rPr>
          <w:rFonts w:ascii="Calibri" w:hAnsi="Calibri"/>
          <w:b/>
          <w:color w:val="525866"/>
          <w:sz w:val="22"/>
        </w:rPr>
        <w:t xml:space="preserve">Ticker: </w:t>
      </w:r>
      <w:r>
        <w:rPr>
          <w:rFonts w:ascii="Calibri" w:hAnsi="Calibri"/>
          <w:color w:val="525866"/>
          <w:sz w:val="22"/>
        </w:rPr>
        <w:t xml:space="preserve">FISV  </w:t>
      </w:r>
      <w:r>
        <w:rPr>
          <w:rFonts w:ascii="Calibri" w:hAnsi="Calibri"/>
          <w:b/>
          <w:color w:val="525866"/>
          <w:sz w:val="22"/>
        </w:rPr>
        <w:t xml:space="preserve">| Earnings Date: </w:t>
      </w:r>
      <w:r>
        <w:rPr>
          <w:rFonts w:ascii="Calibri" w:hAnsi="Calibri"/>
          <w:color w:val="525866"/>
          <w:sz w:val="22"/>
        </w:rPr>
        <w:t xml:space="preserve">August 6, 2026  </w:t>
      </w:r>
      <w:r>
        <w:rPr>
          <w:rFonts w:ascii="Calibri" w:hAnsi="Calibri"/>
          <w:b/>
          <w:color w:val="525866"/>
          <w:sz w:val="22"/>
        </w:rPr>
        <w:t xml:space="preserve">| Prepared: </w:t>
      </w:r>
      <w:r>
        <w:rPr>
          <w:rFonts w:ascii="Calibri" w:hAnsi="Calibri"/>
          <w:color w:val="525866"/>
          <w:sz w:val="22"/>
        </w:rPr>
        <w:t xml:space="preserve">August 5, 2026  </w:t>
      </w:r>
      <w:r>
        <w:rPr>
          <w:rFonts w:ascii="Calibri" w:hAnsi="Calibri"/>
          <w:b/>
          <w:color w:val="525866"/>
          <w:sz w:val="22"/>
        </w:rPr>
        <w:t xml:space="preserve">| Reporting Period: </w:t>
      </w:r>
      <w:r>
        <w:rPr>
          <w:rFonts w:ascii="Calibri" w:hAnsi="Calibri"/>
          <w:color w:val="525866"/>
          <w:sz w:val="22"/>
        </w:rPr>
        <w:t>Q2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a low bar with a high-stakes wildcard — the abrupt CEO departure mid-quarter is the single biggest swing factor, and the market will be listening for whether new CEO Takis Georgakopoulos reaffirms or walks back the ambitious H2 2026 acceleration thesis.</w:t>
      </w:r>
    </w:p>
    <w:p>
      <w:r>
        <w:rPr>
          <w:rFonts w:ascii="Calibri" w:hAnsi="Calibri"/>
          <w:color w:val="525866"/>
          <w:sz w:val="22"/>
        </w:rPr>
        <w:t xml:space="preserve">Heading into Q2 2026, the bar for Fiserv is unambiguously low: management guided for Q2 to be the </w:t>
      </w:r>
      <w:r>
        <w:rPr>
          <w:rFonts w:ascii="Calibri" w:hAnsi="Calibri"/>
          <w:b/>
          <w:color w:val="525866"/>
          <w:sz w:val="22"/>
        </w:rPr>
        <w:t>trough in year-over-year revenue decline</w:t>
      </w:r>
      <w:r>
        <w:rPr>
          <w:rFonts w:ascii="Calibri" w:hAnsi="Calibri"/>
          <w:color w:val="525866"/>
          <w:sz w:val="22"/>
        </w:rPr>
        <w:t xml:space="preserve">, with Financial Solutions expected to fall at the high end of mid-single digits — the worst quarter of the year by design. Consensus is anchored to that guidance, meaning a beat requires only modest execution, not acceleration. Management's posture on the Q1 call was measured but confident, reaffirming full-year adjusted EPS of </w:t>
      </w:r>
      <w:r>
        <w:rPr>
          <w:rFonts w:ascii="Calibri" w:hAnsi="Calibri"/>
          <w:b/>
          <w:color w:val="525866"/>
          <w:sz w:val="22"/>
        </w:rPr>
        <w:t>$8.00–$8.30</w:t>
      </w:r>
      <w:r>
        <w:rPr>
          <w:rFonts w:ascii="Calibri" w:hAnsi="Calibri"/>
          <w:color w:val="525866"/>
          <w:sz w:val="22"/>
        </w:rPr>
        <w:t xml:space="preserve"> and the 1–3% adjusted revenue growth range, while the May 14 Investor Day layered on a credible medium-term framework (4–6% revenue CAGR, &gt;$12 EPS by 2029) that gave the stock a brief lift. Estimate revisions have been largely flat since Q1 earnings, tracking guidance rather than diverging — there is no meaningful cushion above or below the guided range. The stock has </w:t>
      </w:r>
      <w:r>
        <w:rPr>
          <w:rFonts w:ascii="Calibri" w:hAnsi="Calibri"/>
          <w:b/>
          <w:color w:val="525866"/>
          <w:sz w:val="22"/>
        </w:rPr>
        <w:t>underperformed sharply</w:t>
      </w:r>
      <w:r>
        <w:rPr>
          <w:rFonts w:ascii="Calibri" w:hAnsi="Calibri"/>
          <w:color w:val="525866"/>
          <w:sz w:val="22"/>
        </w:rPr>
        <w:t xml:space="preserve"> since last earnings, down ~5.5% vs. SPY +6.4% and IPAY +9.8%, with the June 15 CEO resignation of Michael Lyons the primary driver of the de-rating — the stock fell ~11% on that day alone. The wildcard is entirely leadership: whether Georgakopoulos reaffirms the H2 2026 revenue acceleration thesis (6–8% growth required to hit full-year guidance) and provides enough operational color to restore confidence, or whether the print becomes a reset event with guidance cuts.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The bar is low — Q2 was pre-guided as the trough quarter. </w:t>
      </w:r>
      <w:r>
        <w:rPr>
          <w:rFonts w:ascii="Calibri" w:hAnsi="Calibri"/>
          <w:b/>
          <w:color w:val="525866"/>
          <w:sz w:val="22"/>
        </w:rPr>
        <w:t>Adjusted EPS and Clover revenue growth are the two biggest swing factors</w:t>
      </w:r>
      <w:r>
        <w:rPr>
          <w:rFonts w:ascii="Calibri" w:hAnsi="Calibri"/>
          <w:color w:val="525866"/>
          <w:sz w:val="22"/>
        </w:rPr>
        <w:t>; a beat on either would be a positive signal, but the market will weight management's H2 confidence more than the Q2 print itself.</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Adjusted Revenue</w:t>
            </w:r>
          </w:p>
        </w:tc>
        <w:tc>
          <w:tcPr>
            <w:tcW w:type="dxa" w:w="1234"/>
          </w:tcPr>
          <w:p>
            <w:r>
              <w:rPr>
                <w:rFonts w:ascii="Calibri" w:hAnsi="Calibri"/>
                <w:sz w:val="22"/>
              </w:rPr>
              <w:t>$4.68B</w:t>
            </w:r>
          </w:p>
        </w:tc>
        <w:tc>
          <w:tcPr>
            <w:tcW w:type="dxa" w:w="1234"/>
          </w:tcPr>
          <w:p>
            <w:r>
              <w:rPr>
                <w:rFonts w:ascii="Calibri" w:hAnsi="Calibri"/>
                <w:sz w:val="22"/>
              </w:rPr>
              <w:t>~$4.79B (est.)</w:t>
            </w:r>
          </w:p>
        </w:tc>
        <w:tc>
          <w:tcPr>
            <w:tcW w:type="dxa" w:w="1234"/>
          </w:tcPr>
          <w:p>
            <w:r>
              <w:rPr>
                <w:rFonts w:ascii="Calibri" w:hAnsi="Calibri"/>
                <w:sz w:val="22"/>
              </w:rPr>
              <w:t>N/A — not in VA</w:t>
            </w:r>
          </w:p>
        </w:tc>
        <w:tc>
          <w:tcPr>
            <w:tcW w:type="dxa" w:w="1234"/>
          </w:tcPr>
          <w:p>
            <w:r>
              <w:rPr>
                <w:rFonts w:ascii="Calibri" w:hAnsi="Calibri"/>
                <w:sz w:val="22"/>
              </w:rPr>
              <w:t>Low-single digit decline (guided)</w:t>
            </w:r>
          </w:p>
        </w:tc>
        <w:tc>
          <w:tcPr>
            <w:tcW w:type="dxa" w:w="1234"/>
          </w:tcPr>
          <w:p>
            <w:r>
              <w:rPr>
                <w:rFonts w:ascii="Calibri" w:hAnsi="Calibri"/>
                <w:sz w:val="22"/>
              </w:rPr>
              <w:t>Low-single digit decline (H1 2026)</w:t>
            </w:r>
          </w:p>
        </w:tc>
        <w:tc>
          <w:tcPr>
            <w:tcW w:type="dxa" w:w="1234"/>
          </w:tcPr>
          <w:p>
            <w:r>
              <w:rPr>
                <w:rFonts w:ascii="Calibri" w:hAnsi="Calibri"/>
                <w:sz w:val="22"/>
              </w:rPr>
              <w:t>In line</w:t>
            </w:r>
          </w:p>
        </w:tc>
      </w:tr>
      <w:tr>
        <w:tc>
          <w:tcPr>
            <w:tcW w:type="dxa" w:w="1234"/>
          </w:tcPr>
          <w:p>
            <w:r>
              <w:rPr>
                <w:rFonts w:ascii="Calibri" w:hAnsi="Calibri"/>
                <w:sz w:val="22"/>
              </w:rPr>
              <w:t>Adjusted EPS</w:t>
            </w:r>
          </w:p>
        </w:tc>
        <w:tc>
          <w:tcPr>
            <w:tcW w:type="dxa" w:w="1234"/>
          </w:tcPr>
          <w:p>
            <w:r>
              <w:rPr>
                <w:rFonts w:ascii="Calibri" w:hAnsi="Calibri"/>
                <w:sz w:val="22"/>
              </w:rPr>
              <w:t>$1.79</w:t>
            </w:r>
          </w:p>
        </w:tc>
        <w:tc>
          <w:tcPr>
            <w:tcW w:type="dxa" w:w="1234"/>
          </w:tcPr>
          <w:p>
            <w:r>
              <w:rPr>
                <w:rFonts w:ascii="Calibri" w:hAnsi="Calibri"/>
                <w:sz w:val="22"/>
              </w:rPr>
              <w:t>~$2.10 (est.)</w:t>
            </w:r>
          </w:p>
        </w:tc>
        <w:tc>
          <w:tcPr>
            <w:tcW w:type="dxa" w:w="1234"/>
          </w:tcPr>
          <w:p>
            <w:r>
              <w:rPr>
                <w:rFonts w:ascii="Calibri" w:hAnsi="Calibri"/>
                <w:sz w:val="22"/>
              </w:rPr>
              <w:t>N/A — not in VA</w:t>
            </w:r>
          </w:p>
        </w:tc>
        <w:tc>
          <w:tcPr>
            <w:tcW w:type="dxa" w:w="1234"/>
          </w:tcPr>
          <w:p>
            <w:r>
              <w:rPr>
                <w:rFonts w:ascii="Calibri" w:hAnsi="Calibri"/>
                <w:sz w:val="22"/>
              </w:rPr>
              <w:t>Decline YoY (Q1 tax benefit not repeating)</w:t>
            </w:r>
          </w:p>
        </w:tc>
        <w:tc>
          <w:tcPr>
            <w:tcW w:type="dxa" w:w="1234"/>
          </w:tcPr>
          <w:p>
            <w:r>
              <w:rPr>
                <w:rFonts w:ascii="Calibri" w:hAnsi="Calibri"/>
                <w:sz w:val="22"/>
              </w:rPr>
              <w:t>FY $8.00–$8.30</w:t>
            </w:r>
          </w:p>
        </w:tc>
        <w:tc>
          <w:tcPr>
            <w:tcW w:type="dxa" w:w="1234"/>
          </w:tcPr>
          <w:p>
            <w:r>
              <w:rPr>
                <w:rFonts w:ascii="Calibri" w:hAnsi="Calibri"/>
                <w:sz w:val="22"/>
              </w:rPr>
              <w:t>N/A — quarterly not in VA</w:t>
            </w:r>
          </w:p>
        </w:tc>
      </w:tr>
      <w:tr>
        <w:tc>
          <w:tcPr>
            <w:tcW w:type="dxa" w:w="1234"/>
          </w:tcPr>
          <w:p>
            <w:r>
              <w:rPr>
                <w:rFonts w:ascii="Calibri" w:hAnsi="Calibri"/>
                <w:sz w:val="22"/>
              </w:rPr>
              <w:t>Adjusted Operating Margin</w:t>
            </w:r>
          </w:p>
        </w:tc>
        <w:tc>
          <w:tcPr>
            <w:tcW w:type="dxa" w:w="1234"/>
          </w:tcPr>
          <w:p>
            <w:r>
              <w:rPr>
                <w:rFonts w:ascii="Calibri" w:hAnsi="Calibri"/>
                <w:sz w:val="22"/>
              </w:rPr>
              <w:t>29.7%</w:t>
            </w:r>
          </w:p>
        </w:tc>
        <w:tc>
          <w:tcPr>
            <w:tcW w:type="dxa" w:w="1234"/>
          </w:tcPr>
          <w:p>
            <w:r>
              <w:rPr>
                <w:rFonts w:ascii="Calibri" w:hAnsi="Calibri"/>
                <w:sz w:val="22"/>
              </w:rPr>
              <w:t>~37%+ (est.)</w:t>
            </w:r>
          </w:p>
        </w:tc>
        <w:tc>
          <w:tcPr>
            <w:tcW w:type="dxa" w:w="1234"/>
          </w:tcPr>
          <w:p>
            <w:r>
              <w:rPr>
                <w:rFonts w:ascii="Calibri" w:hAnsi="Calibri"/>
                <w:sz w:val="22"/>
              </w:rPr>
              <w:t>N/A — not in VA</w:t>
            </w:r>
          </w:p>
        </w:tc>
        <w:tc>
          <w:tcPr>
            <w:tcW w:type="dxa" w:w="1234"/>
          </w:tcPr>
          <w:p>
            <w:r>
              <w:rPr>
                <w:rFonts w:ascii="Calibri" w:hAnsi="Calibri"/>
                <w:sz w:val="22"/>
              </w:rPr>
              <w:t>Decline YoY</w:t>
            </w:r>
          </w:p>
        </w:tc>
        <w:tc>
          <w:tcPr>
            <w:tcW w:type="dxa" w:w="1234"/>
          </w:tcPr>
          <w:p>
            <w:r>
              <w:rPr>
                <w:rFonts w:ascii="Calibri" w:hAnsi="Calibri"/>
                <w:sz w:val="22"/>
              </w:rPr>
              <w:t>31–32% (H1 2026)</w:t>
            </w:r>
          </w:p>
        </w:tc>
        <w:tc>
          <w:tcPr>
            <w:tcW w:type="dxa" w:w="1234"/>
          </w:tcPr>
          <w:p>
            <w:r>
              <w:rPr>
                <w:rFonts w:ascii="Calibri" w:hAnsi="Calibri"/>
                <w:sz w:val="22"/>
              </w:rPr>
              <w:t>In line with guidance</w:t>
            </w:r>
          </w:p>
        </w:tc>
      </w:tr>
      <w:tr>
        <w:tc>
          <w:tcPr>
            <w:tcW w:type="dxa" w:w="1234"/>
          </w:tcPr>
          <w:p>
            <w:r>
              <w:rPr>
                <w:rFonts w:ascii="Calibri" w:hAnsi="Calibri"/>
                <w:sz w:val="22"/>
              </w:rPr>
              <w:t>Clover Revenue Growth</w:t>
            </w:r>
          </w:p>
        </w:tc>
        <w:tc>
          <w:tcPr>
            <w:tcW w:type="dxa" w:w="1234"/>
          </w:tcPr>
          <w:p>
            <w:r>
              <w:rPr>
                <w:rFonts w:ascii="Calibri" w:hAnsi="Calibri"/>
                <w:sz w:val="22"/>
              </w:rPr>
              <w:t>+6% YoY (mid-teens ex-non-recurring)</w:t>
            </w:r>
          </w:p>
        </w:tc>
        <w:tc>
          <w:tcPr>
            <w:tcW w:type="dxa" w:w="1234"/>
          </w:tcPr>
          <w:p>
            <w:r>
              <w:rPr>
                <w:rFonts w:ascii="Calibri" w:hAnsi="Calibri"/>
                <w:sz w:val="22"/>
              </w:rPr>
              <w:t>~High-single digit</w:t>
            </w:r>
          </w:p>
        </w:tc>
        <w:tc>
          <w:tcPr>
            <w:tcW w:type="dxa" w:w="1234"/>
          </w:tcPr>
          <w:p>
            <w:r>
              <w:rPr>
                <w:rFonts w:ascii="Calibri" w:hAnsi="Calibri"/>
                <w:sz w:val="22"/>
              </w:rPr>
              <w:t>N/A — not in VA</w:t>
            </w:r>
          </w:p>
        </w:tc>
        <w:tc>
          <w:tcPr>
            <w:tcW w:type="dxa" w:w="1234"/>
          </w:tcPr>
          <w:p>
            <w:r>
              <w:rPr>
                <w:rFonts w:ascii="Calibri" w:hAnsi="Calibri"/>
                <w:sz w:val="22"/>
              </w:rPr>
              <w:t>Acceleration expected</w:t>
            </w:r>
          </w:p>
        </w:tc>
        <w:tc>
          <w:tcPr>
            <w:tcW w:type="dxa" w:w="1234"/>
          </w:tcPr>
          <w:p>
            <w:r>
              <w:rPr>
                <w:rFonts w:ascii="Calibri" w:hAnsi="Calibri"/>
                <w:sz w:val="22"/>
              </w:rPr>
              <w:t>Low double digits FY 2026</w:t>
            </w:r>
          </w:p>
        </w:tc>
        <w:tc>
          <w:tcPr>
            <w:tcW w:type="dxa" w:w="1234"/>
          </w:tcPr>
          <w:p>
            <w:r>
              <w:rPr>
                <w:rFonts w:ascii="Calibri" w:hAnsi="Calibri"/>
                <w:sz w:val="22"/>
              </w:rPr>
              <w:t>N/A — quarterly not in VA</w:t>
            </w:r>
          </w:p>
        </w:tc>
      </w:tr>
      <w:tr>
        <w:tc>
          <w:tcPr>
            <w:tcW w:type="dxa" w:w="1234"/>
          </w:tcPr>
          <w:p>
            <w:r>
              <w:rPr>
                <w:rFonts w:ascii="Calibri" w:hAnsi="Calibri"/>
                <w:sz w:val="22"/>
              </w:rPr>
              <w:t>Financial Solutions Revenue Growth</w:t>
            </w:r>
          </w:p>
        </w:tc>
        <w:tc>
          <w:tcPr>
            <w:tcW w:type="dxa" w:w="1234"/>
          </w:tcPr>
          <w:p>
            <w:r>
              <w:rPr>
                <w:rFonts w:ascii="Calibri" w:hAnsi="Calibri"/>
                <w:sz w:val="22"/>
              </w:rPr>
              <w:t>-5% adjusted YoY</w:t>
            </w:r>
          </w:p>
        </w:tc>
        <w:tc>
          <w:tcPr>
            <w:tcW w:type="dxa" w:w="1234"/>
          </w:tcPr>
          <w:p>
            <w:r>
              <w:rPr>
                <w:rFonts w:ascii="Calibri" w:hAnsi="Calibri"/>
                <w:sz w:val="22"/>
              </w:rPr>
              <w:t>~Flat to slightly positive</w:t>
            </w:r>
          </w:p>
        </w:tc>
        <w:tc>
          <w:tcPr>
            <w:tcW w:type="dxa" w:w="1234"/>
          </w:tcPr>
          <w:p>
            <w:r>
              <w:rPr>
                <w:rFonts w:ascii="Calibri" w:hAnsi="Calibri"/>
                <w:sz w:val="22"/>
              </w:rPr>
              <w:t>N/A — not in VA</w:t>
            </w:r>
          </w:p>
        </w:tc>
        <w:tc>
          <w:tcPr>
            <w:tcW w:type="dxa" w:w="1234"/>
          </w:tcPr>
          <w:p>
            <w:r>
              <w:rPr>
                <w:rFonts w:ascii="Calibri" w:hAnsi="Calibri"/>
                <w:sz w:val="22"/>
              </w:rPr>
              <w:t>Trough quarter</w:t>
            </w:r>
          </w:p>
        </w:tc>
        <w:tc>
          <w:tcPr>
            <w:tcW w:type="dxa" w:w="1234"/>
          </w:tcPr>
          <w:p>
            <w:r>
              <w:rPr>
                <w:rFonts w:ascii="Calibri" w:hAnsi="Calibri"/>
                <w:sz w:val="22"/>
              </w:rPr>
              <w:t>High-end mid-single digit decline (Q2 trough)</w:t>
            </w:r>
          </w:p>
        </w:tc>
        <w:tc>
          <w:tcPr>
            <w:tcW w:type="dxa" w:w="1234"/>
          </w:tcPr>
          <w:p>
            <w:r>
              <w:rPr>
                <w:rFonts w:ascii="Calibri" w:hAnsi="Calibri"/>
                <w:sz w:val="22"/>
              </w:rPr>
              <w:t>In line with guidance</w:t>
            </w:r>
          </w:p>
        </w:tc>
      </w:tr>
      <w:tr>
        <w:tc>
          <w:tcPr>
            <w:tcW w:type="dxa" w:w="1234"/>
          </w:tcPr>
          <w:p>
            <w:r>
              <w:rPr>
                <w:rFonts w:ascii="Calibri" w:hAnsi="Calibri"/>
                <w:sz w:val="22"/>
              </w:rPr>
              <w:t>Merchant Solutions Revenue Growth</w:t>
            </w:r>
          </w:p>
        </w:tc>
        <w:tc>
          <w:tcPr>
            <w:tcW w:type="dxa" w:w="1234"/>
          </w:tcPr>
          <w:p>
            <w:r>
              <w:rPr>
                <w:rFonts w:ascii="Calibri" w:hAnsi="Calibri"/>
                <w:sz w:val="22"/>
              </w:rPr>
              <w:t>Flat adjusted YoY</w:t>
            </w:r>
          </w:p>
        </w:tc>
        <w:tc>
          <w:tcPr>
            <w:tcW w:type="dxa" w:w="1234"/>
          </w:tcPr>
          <w:p>
            <w:r>
              <w:rPr>
                <w:rFonts w:ascii="Calibri" w:hAnsi="Calibri"/>
                <w:sz w:val="22"/>
              </w:rPr>
              <w:t>~Low-single digit growth</w:t>
            </w:r>
          </w:p>
        </w:tc>
        <w:tc>
          <w:tcPr>
            <w:tcW w:type="dxa" w:w="1234"/>
          </w:tcPr>
          <w:p>
            <w:r>
              <w:rPr>
                <w:rFonts w:ascii="Calibri" w:hAnsi="Calibri"/>
                <w:sz w:val="22"/>
              </w:rPr>
              <w:t>N/A — not in VA</w:t>
            </w:r>
          </w:p>
        </w:tc>
        <w:tc>
          <w:tcPr>
            <w:tcW w:type="dxa" w:w="1234"/>
          </w:tcPr>
          <w:p>
            <w:r>
              <w:rPr>
                <w:rFonts w:ascii="Calibri" w:hAnsi="Calibri"/>
                <w:sz w:val="22"/>
              </w:rPr>
              <w:t>Modest improvement</w:t>
            </w:r>
          </w:p>
        </w:tc>
        <w:tc>
          <w:tcPr>
            <w:tcW w:type="dxa" w:w="1234"/>
          </w:tcPr>
          <w:p>
            <w:r>
              <w:rPr>
                <w:rFonts w:ascii="Calibri" w:hAnsi="Calibri"/>
                <w:sz w:val="22"/>
              </w:rPr>
              <w:t>Mid-single digits FY 2026</w:t>
            </w:r>
          </w:p>
        </w:tc>
        <w:tc>
          <w:tcPr>
            <w:tcW w:type="dxa" w:w="1234"/>
          </w:tcPr>
          <w:p>
            <w:r>
              <w:rPr>
                <w:rFonts w:ascii="Calibri" w:hAnsi="Calibri"/>
                <w:sz w:val="22"/>
              </w:rPr>
              <w:t>Tracking guidance</w:t>
            </w:r>
          </w:p>
        </w:tc>
      </w:tr>
      <w:tr>
        <w:tc>
          <w:tcPr>
            <w:tcW w:type="dxa" w:w="1234"/>
          </w:tcPr>
          <w:p>
            <w:r>
              <w:rPr>
                <w:rFonts w:ascii="Calibri" w:hAnsi="Calibri"/>
                <w:sz w:val="22"/>
              </w:rPr>
              <w:t>Free Cash Flow Conversion</w:t>
            </w:r>
          </w:p>
        </w:tc>
        <w:tc>
          <w:tcPr>
            <w:tcW w:type="dxa" w:w="1234"/>
          </w:tcPr>
          <w:p>
            <w:r>
              <w:rPr>
                <w:rFonts w:ascii="Calibri" w:hAnsi="Calibri"/>
                <w:sz w:val="22"/>
              </w:rPr>
              <w:t>$259M (Q1 seasonally low)</w:t>
            </w:r>
          </w:p>
        </w:tc>
        <w:tc>
          <w:tcPr>
            <w:tcW w:type="dxa" w:w="1234"/>
          </w:tcPr>
          <w:p>
            <w:r>
              <w:rPr>
                <w:rFonts w:ascii="Calibri" w:hAnsi="Calibri"/>
                <w:sz w:val="22"/>
              </w:rPr>
              <w:t>N/A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~90% of adj. net income FY 2026</w:t>
            </w:r>
          </w:p>
        </w:tc>
        <w:tc>
          <w:tcPr>
            <w:tcW w:type="dxa" w:w="1234"/>
          </w:tcPr>
          <w:p>
            <w:r>
              <w:rPr>
                <w:rFonts w:ascii="Calibri" w:hAnsi="Calibri"/>
                <w:sz w:val="22"/>
              </w:rPr>
              <w:t>N/A</w:t>
            </w:r>
          </w:p>
        </w:tc>
      </w:tr>
    </w:tbl>
    <w:p>
      <w:r>
        <w:rPr>
          <w:rFonts w:ascii="Calibri" w:hAnsi="Calibri"/>
          <w:b/>
          <w:color w:val="525866"/>
          <w:sz w:val="22"/>
        </w:rPr>
        <w:t xml:space="preserve">Note: </w:t>
      </w:r>
      <w:r>
        <w:rPr>
          <w:rFonts w:ascii="Calibri" w:hAnsi="Calibri"/>
          <w:color w:val="525866"/>
          <w:sz w:val="22"/>
        </w:rPr>
        <w:t>Visible Alpha does not cover FISV with a mapped company ID; consensus estimates above are sourced from management guidance and publicly available analyst commentary. Q1 2026 actuals sourced from Fiserv Q1 2026 Earnings Release (8-K EX-99.1, May 5, 2026). Q1 2026 adjusted EPS of $1.79 included a 17-cent benefit from an 11% effective tax rate (vs. 19–19.5% full-year guidance) due to a one-time foreign valuation allowance release — this benefit does not repeat in Q2.</w:t>
      </w:r>
    </w:p>
    <w:p>
      <w:pPr>
        <w:pStyle w:val="Heading3"/>
      </w:pPr>
      <w:r>
        <w:rPr>
          <w:rFonts w:ascii="Calibri" w:hAnsi="Calibri"/>
          <w:b/>
          <w:color w:val="3B4259"/>
          <w:sz w:val="24"/>
        </w:rPr>
        <w:t>Table 2 — Beat/Miss History (Last 8 Quarters, Adjusted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Adj. EPS</w:t>
            </w:r>
          </w:p>
        </w:tc>
        <w:tc>
          <w:tcPr>
            <w:tcW w:type="dxa" w:w="1728"/>
            <w:shd w:val="clear" w:color="auto" w:fill="3B4259"/>
          </w:tcPr>
          <w:p>
            <w:r>
              <w:rPr>
                <w:rFonts w:ascii="Calibri" w:hAnsi="Calibri"/>
                <w:b/>
                <w:color w:val="FFFFFF"/>
                <w:sz w:val="22"/>
              </w:rPr>
              <w:t>Consensus Est.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$1.79</w:t>
            </w:r>
          </w:p>
        </w:tc>
        <w:tc>
          <w:tcPr>
            <w:tcW w:type="dxa" w:w="1728"/>
          </w:tcPr>
          <w:p>
            <w:r>
              <w:rPr>
                <w:rFonts w:ascii="Calibri" w:hAnsi="Calibri"/>
                <w:sz w:val="22"/>
              </w:rPr>
              <w:t>~$1.65 (est.)</w:t>
            </w:r>
          </w:p>
        </w:tc>
        <w:tc>
          <w:tcPr>
            <w:tcW w:type="dxa" w:w="1728"/>
          </w:tcPr>
          <w:p>
            <w:r>
              <w:rPr>
                <w:rFonts w:ascii="Calibri" w:hAnsi="Calibri"/>
                <w:sz w:val="22"/>
              </w:rPr>
              <w:t>+8.5%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 — not in VA</w:t>
            </w:r>
          </w:p>
        </w:tc>
      </w:tr>
      <w:tr>
        <w:tc>
          <w:tcPr>
            <w:tcW w:type="dxa" w:w="1728"/>
          </w:tcPr>
          <w:p>
            <w:r>
              <w:rPr>
                <w:rFonts w:ascii="Calibri" w:hAnsi="Calibri"/>
                <w:sz w:val="22"/>
              </w:rPr>
              <w:t>Q3 2025</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 — not in VA</w:t>
            </w:r>
          </w:p>
        </w:tc>
      </w:tr>
      <w:tr>
        <w:tc>
          <w:tcPr>
            <w:tcW w:type="dxa" w:w="1728"/>
          </w:tcPr>
          <w:p>
            <w:r>
              <w:rPr>
                <w:rFonts w:ascii="Calibri" w:hAnsi="Calibri"/>
                <w:sz w:val="22"/>
              </w:rPr>
              <w:t>Q2 2025</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 — not in VA</w:t>
            </w:r>
          </w:p>
        </w:tc>
      </w:tr>
    </w:tbl>
    <w:p>
      <w:r>
        <w:rPr>
          <w:rFonts w:ascii="Calibri" w:hAnsi="Calibri"/>
          <w:b/>
          <w:color w:val="525866"/>
          <w:sz w:val="22"/>
        </w:rPr>
        <w:t xml:space="preserve">Note: </w:t>
      </w:r>
      <w:r>
        <w:rPr>
          <w:rFonts w:ascii="Calibri" w:hAnsi="Calibri"/>
          <w:color w:val="525866"/>
          <w:sz w:val="22"/>
        </w:rPr>
        <w:t>Visible Alpha does not cover FISV; full beat/miss history is not available from VA. Q1 2026 beat was materially aided by a one-time tax benefit (11% effective rate vs. 19–19.5% guided). The pattern from Q1 2026 suggests management guides conservatively, but the tax tailwind will not repeat in Q2.</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has been </w:t>
      </w:r>
      <w:r>
        <w:rPr>
          <w:rFonts w:ascii="Calibri" w:hAnsi="Calibri"/>
          <w:b/>
          <w:color w:val="525866"/>
          <w:sz w:val="22"/>
        </w:rPr>
        <w:t>reaffirmed unchanged</w:t>
      </w:r>
      <w:r>
        <w:rPr>
          <w:rFonts w:ascii="Calibri" w:hAnsi="Calibri"/>
          <w:color w:val="525866"/>
          <w:sz w:val="22"/>
        </w:rPr>
        <w:t xml:space="preserve"> since Q1 earnings and again at the May 14 Investor Day. The tone is constructive on H2 acceleration, but the abrupt CEO change on June 15 introduces meaningful uncertainty about whether the new leadership will stand behind the existing framework.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5)</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Organic Revenue Growth</w:t>
            </w:r>
          </w:p>
        </w:tc>
        <w:tc>
          <w:tcPr>
            <w:tcW w:type="dxa" w:w="1728"/>
          </w:tcPr>
          <w:p>
            <w:r>
              <w:rPr>
                <w:rFonts w:ascii="Calibri" w:hAnsi="Calibri"/>
                <w:sz w:val="22"/>
              </w:rPr>
              <w:t>1% to 3%</w:t>
            </w:r>
          </w:p>
        </w:tc>
        <w:tc>
          <w:tcPr>
            <w:tcW w:type="dxa" w:w="1728"/>
          </w:tcPr>
          <w:p>
            <w:r>
              <w:rPr>
                <w:rFonts w:ascii="Calibri" w:hAnsi="Calibri"/>
                <w:sz w:val="22"/>
              </w:rPr>
              <w:t>—</w:t>
            </w:r>
          </w:p>
        </w:tc>
        <w:tc>
          <w:tcPr>
            <w:tcW w:type="dxa" w:w="1728"/>
          </w:tcPr>
          <w:p>
            <w:r>
              <w:rPr>
                <w:rFonts w:ascii="Calibri" w:hAnsi="Calibri"/>
                <w:sz w:val="22"/>
              </w:rPr>
              <w:t>1% to 3% (tracking guidance)</w:t>
            </w:r>
          </w:p>
        </w:tc>
        <w:tc>
          <w:tcPr>
            <w:tcW w:type="dxa" w:w="1728"/>
          </w:tcPr>
          <w:p>
            <w:r>
              <w:rPr>
                <w:rFonts w:ascii="Calibri" w:hAnsi="Calibri"/>
                <w:sz w:val="22"/>
              </w:rPr>
              <w:t>Reaffirmed at Investor Day (May 14). No change post-CEO departure.</w:t>
            </w:r>
          </w:p>
        </w:tc>
      </w:tr>
      <w:tr>
        <w:tc>
          <w:tcPr>
            <w:tcW w:type="dxa" w:w="1728"/>
          </w:tcPr>
          <w:p>
            <w:r>
              <w:rPr>
                <w:rFonts w:ascii="Calibri" w:hAnsi="Calibri"/>
                <w:sz w:val="22"/>
              </w:rPr>
              <w:t>FY 2026 Adjusted Revenue Growth</w:t>
            </w:r>
          </w:p>
        </w:tc>
        <w:tc>
          <w:tcPr>
            <w:tcW w:type="dxa" w:w="1728"/>
          </w:tcPr>
          <w:p>
            <w:r>
              <w:rPr>
                <w:rFonts w:ascii="Calibri" w:hAnsi="Calibri"/>
                <w:sz w:val="22"/>
              </w:rPr>
              <w:t>1% to 3%</w:t>
            </w:r>
          </w:p>
        </w:tc>
        <w:tc>
          <w:tcPr>
            <w:tcW w:type="dxa" w:w="1728"/>
          </w:tcPr>
          <w:p>
            <w:r>
              <w:rPr>
                <w:rFonts w:ascii="Calibri" w:hAnsi="Calibri"/>
                <w:sz w:val="22"/>
              </w:rPr>
              <w:t>—</w:t>
            </w:r>
          </w:p>
        </w:tc>
        <w:tc>
          <w:tcPr>
            <w:tcW w:type="dxa" w:w="1728"/>
          </w:tcPr>
          <w:p>
            <w:r>
              <w:rPr>
                <w:rFonts w:ascii="Calibri" w:hAnsi="Calibri"/>
                <w:sz w:val="22"/>
              </w:rPr>
              <w:t>1% to 3%</w:t>
            </w:r>
          </w:p>
        </w:tc>
        <w:tc>
          <w:tcPr>
            <w:tcW w:type="dxa" w:w="1728"/>
          </w:tcPr>
          <w:p>
            <w:r>
              <w:rPr>
                <w:rFonts w:ascii="Calibri" w:hAnsi="Calibri"/>
                <w:sz w:val="22"/>
              </w:rPr>
              <w:t>Reaffirmed at Investor Day. ATM JV close by Q3-end could reduce by ~30 bps.</w:t>
            </w:r>
          </w:p>
        </w:tc>
      </w:tr>
      <w:tr>
        <w:tc>
          <w:tcPr>
            <w:tcW w:type="dxa" w:w="1728"/>
          </w:tcPr>
          <w:p>
            <w:r>
              <w:rPr>
                <w:rFonts w:ascii="Calibri" w:hAnsi="Calibri"/>
                <w:sz w:val="22"/>
              </w:rPr>
              <w:t>FY 2026 Adjusted EPS</w:t>
            </w:r>
          </w:p>
        </w:tc>
        <w:tc>
          <w:tcPr>
            <w:tcW w:type="dxa" w:w="1728"/>
          </w:tcPr>
          <w:p>
            <w:r>
              <w:rPr>
                <w:rFonts w:ascii="Calibri" w:hAnsi="Calibri"/>
                <w:sz w:val="22"/>
              </w:rPr>
              <w:t>$8.00 – $8.30</w:t>
            </w:r>
          </w:p>
        </w:tc>
        <w:tc>
          <w:tcPr>
            <w:tcW w:type="dxa" w:w="1728"/>
          </w:tcPr>
          <w:p>
            <w:r>
              <w:rPr>
                <w:rFonts w:ascii="Calibri" w:hAnsi="Calibri"/>
                <w:sz w:val="22"/>
              </w:rPr>
              <w:t>—</w:t>
            </w:r>
          </w:p>
        </w:tc>
        <w:tc>
          <w:tcPr>
            <w:tcW w:type="dxa" w:w="1728"/>
          </w:tcPr>
          <w:p>
            <w:r>
              <w:rPr>
                <w:rFonts w:ascii="Calibri" w:hAnsi="Calibri"/>
                <w:sz w:val="22"/>
              </w:rPr>
              <w:t>$8.00 – $8.30</w:t>
            </w:r>
          </w:p>
        </w:tc>
        <w:tc>
          <w:tcPr>
            <w:tcW w:type="dxa" w:w="1728"/>
          </w:tcPr>
          <w:p>
            <w:r>
              <w:rPr>
                <w:rFonts w:ascii="Calibri" w:hAnsi="Calibri"/>
                <w:sz w:val="22"/>
              </w:rPr>
              <w:t>Reaffirmed. ATM JV sale expected to have no meaningful EPS impact in 2026.</w:t>
            </w:r>
          </w:p>
        </w:tc>
      </w:tr>
      <w:tr>
        <w:tc>
          <w:tcPr>
            <w:tcW w:type="dxa" w:w="1728"/>
          </w:tcPr>
          <w:p>
            <w:r>
              <w:rPr>
                <w:rFonts w:ascii="Calibri" w:hAnsi="Calibri"/>
                <w:sz w:val="22"/>
              </w:rPr>
              <w:t>FY 2026 Adjusted Operating Margin</w:t>
            </w:r>
          </w:p>
        </w:tc>
        <w:tc>
          <w:tcPr>
            <w:tcW w:type="dxa" w:w="1728"/>
          </w:tcPr>
          <w:p>
            <w:r>
              <w:rPr>
                <w:rFonts w:ascii="Calibri" w:hAnsi="Calibri"/>
                <w:sz w:val="22"/>
              </w:rPr>
              <w:t>~34% full year; 31–32% H1; 35–36% H2</w:t>
            </w:r>
          </w:p>
        </w:tc>
        <w:tc>
          <w:tcPr>
            <w:tcW w:type="dxa" w:w="1728"/>
          </w:tcPr>
          <w:p>
            <w:r>
              <w:rPr>
                <w:rFonts w:ascii="Calibri" w:hAnsi="Calibri"/>
                <w:sz w:val="22"/>
              </w:rPr>
              <w:t>—</w:t>
            </w:r>
          </w:p>
        </w:tc>
        <w:tc>
          <w:tcPr>
            <w:tcW w:type="dxa" w:w="1728"/>
          </w:tcPr>
          <w:p>
            <w:r>
              <w:rPr>
                <w:rFonts w:ascii="Calibri" w:hAnsi="Calibri"/>
                <w:sz w:val="22"/>
              </w:rPr>
              <w:t>~34% full year</w:t>
            </w:r>
          </w:p>
        </w:tc>
        <w:tc>
          <w:tcPr>
            <w:tcW w:type="dxa" w:w="1728"/>
          </w:tcPr>
          <w:p>
            <w:r>
              <w:rPr>
                <w:rFonts w:ascii="Calibri" w:hAnsi="Calibri"/>
                <w:sz w:val="22"/>
              </w:rPr>
              <w:t>Reaffirmed at Investor Day. Q2 margin expected to be trough.</w:t>
            </w:r>
          </w:p>
        </w:tc>
      </w:tr>
      <w:tr>
        <w:tc>
          <w:tcPr>
            <w:tcW w:type="dxa" w:w="1728"/>
          </w:tcPr>
          <w:p>
            <w:r>
              <w:rPr>
                <w:rFonts w:ascii="Calibri" w:hAnsi="Calibri"/>
                <w:sz w:val="22"/>
              </w:rPr>
              <w:t>Q2 2026 Financial Solutions Revenue</w:t>
            </w:r>
          </w:p>
        </w:tc>
        <w:tc>
          <w:tcPr>
            <w:tcW w:type="dxa" w:w="1728"/>
          </w:tcPr>
          <w:p>
            <w:r>
              <w:rPr>
                <w:rFonts w:ascii="Calibri" w:hAnsi="Calibri"/>
                <w:sz w:val="22"/>
              </w:rPr>
              <w:t>High-end mid-single digit decline (trough quarter)</w:t>
            </w:r>
          </w:p>
        </w:tc>
        <w:tc>
          <w:tcPr>
            <w:tcW w:type="dxa" w:w="1728"/>
          </w:tcPr>
          <w:p>
            <w:r>
              <w:rPr>
                <w:rFonts w:ascii="Calibri" w:hAnsi="Calibri"/>
                <w:sz w:val="22"/>
              </w:rPr>
              <w:t>—</w:t>
            </w:r>
          </w:p>
        </w:tc>
        <w:tc>
          <w:tcPr>
            <w:tcW w:type="dxa" w:w="1728"/>
          </w:tcPr>
          <w:p>
            <w:r>
              <w:rPr>
                <w:rFonts w:ascii="Calibri" w:hAnsi="Calibri"/>
                <w:sz w:val="22"/>
              </w:rPr>
              <w:t>High-end mid-single digit decline</w:t>
            </w:r>
          </w:p>
        </w:tc>
        <w:tc>
          <w:tcPr>
            <w:tcW w:type="dxa" w:w="1728"/>
          </w:tcPr>
          <w:p>
            <w:r>
              <w:rPr>
                <w:rFonts w:ascii="Calibri" w:hAnsi="Calibri"/>
                <w:sz w:val="22"/>
              </w:rPr>
              <w:t>Largest non-recurring headwind from Issuing output solutions lapping strong Q2 2025.</w:t>
            </w:r>
          </w:p>
        </w:tc>
      </w:tr>
      <w:tr>
        <w:tc>
          <w:tcPr>
            <w:tcW w:type="dxa" w:w="1728"/>
          </w:tcPr>
          <w:p>
            <w:r>
              <w:rPr>
                <w:rFonts w:ascii="Calibri" w:hAnsi="Calibri"/>
                <w:sz w:val="22"/>
              </w:rPr>
              <w:t>Clover Revenue Growth (FY 2026)</w:t>
            </w:r>
          </w:p>
        </w:tc>
        <w:tc>
          <w:tcPr>
            <w:tcW w:type="dxa" w:w="1728"/>
          </w:tcPr>
          <w:p>
            <w:r>
              <w:rPr>
                <w:rFonts w:ascii="Calibri" w:hAnsi="Calibri"/>
                <w:sz w:val="22"/>
              </w:rPr>
              <w:t>Low double digits; GPV 10–15% ex-gateway conversion</w:t>
            </w:r>
          </w:p>
        </w:tc>
        <w:tc>
          <w:tcPr>
            <w:tcW w:type="dxa" w:w="1728"/>
          </w:tcPr>
          <w:p>
            <w:r>
              <w:rPr>
                <w:rFonts w:ascii="Calibri" w:hAnsi="Calibri"/>
                <w:sz w:val="22"/>
              </w:rPr>
              <w:t>—</w:t>
            </w:r>
          </w:p>
        </w:tc>
        <w:tc>
          <w:tcPr>
            <w:tcW w:type="dxa" w:w="1728"/>
          </w:tcPr>
          <w:p>
            <w:r>
              <w:rPr>
                <w:rFonts w:ascii="Calibri" w:hAnsi="Calibri"/>
                <w:sz w:val="22"/>
              </w:rPr>
              <w:t>Low double digits</w:t>
            </w:r>
          </w:p>
        </w:tc>
        <w:tc>
          <w:tcPr>
            <w:tcW w:type="dxa" w:w="1728"/>
          </w:tcPr>
          <w:p>
            <w:r>
              <w:rPr>
                <w:rFonts w:ascii="Calibri" w:hAnsi="Calibri"/>
                <w:sz w:val="22"/>
              </w:rPr>
              <w:t>Q2 expected to show similar trends to Q1; peak non-recurring impact in Q2.</w:t>
            </w:r>
          </w:p>
        </w:tc>
      </w:tr>
      <w:tr>
        <w:tc>
          <w:tcPr>
            <w:tcW w:type="dxa" w:w="1728"/>
          </w:tcPr>
          <w:p>
            <w:r>
              <w:rPr>
                <w:rFonts w:ascii="Calibri" w:hAnsi="Calibri"/>
                <w:sz w:val="22"/>
              </w:rPr>
              <w:t>FY 2026 Free Cash Flow Conversion</w:t>
            </w:r>
          </w:p>
        </w:tc>
        <w:tc>
          <w:tcPr>
            <w:tcW w:type="dxa" w:w="1728"/>
          </w:tcPr>
          <w:p>
            <w:r>
              <w:rPr>
                <w:rFonts w:ascii="Calibri" w:hAnsi="Calibri"/>
                <w:sz w:val="22"/>
              </w:rPr>
              <w:t>~90% of adjusted net income</w:t>
            </w:r>
          </w:p>
        </w:tc>
        <w:tc>
          <w:tcPr>
            <w:tcW w:type="dxa" w:w="1728"/>
          </w:tcPr>
          <w:p>
            <w:r>
              <w:rPr>
                <w:rFonts w:ascii="Calibri" w:hAnsi="Calibri"/>
                <w:sz w:val="22"/>
              </w:rPr>
              <w:t>—</w:t>
            </w:r>
          </w:p>
        </w:tc>
        <w:tc>
          <w:tcPr>
            <w:tcW w:type="dxa" w:w="1728"/>
          </w:tcPr>
          <w:p>
            <w:r>
              <w:rPr>
                <w:rFonts w:ascii="Calibri" w:hAnsi="Calibri"/>
                <w:sz w:val="22"/>
              </w:rPr>
              <w:t>~90%</w:t>
            </w:r>
          </w:p>
        </w:tc>
        <w:tc>
          <w:tcPr>
            <w:tcW w:type="dxa" w:w="1728"/>
          </w:tcPr>
          <w:p>
            <w:r>
              <w:rPr>
                <w:rFonts w:ascii="Calibri" w:hAnsi="Calibri"/>
                <w:sz w:val="22"/>
              </w:rPr>
              <w:t>Reaffirmed. Q1 FCF of $259M in line with seasonal expectations.</w:t>
            </w:r>
          </w:p>
        </w:tc>
      </w:tr>
      <w:tr>
        <w:tc>
          <w:tcPr>
            <w:tcW w:type="dxa" w:w="1728"/>
          </w:tcPr>
          <w:p>
            <w:r>
              <w:rPr>
                <w:rFonts w:ascii="Calibri" w:hAnsi="Calibri"/>
                <w:sz w:val="22"/>
              </w:rPr>
              <w:t>FY 2026 Adjusted Tax Rate</w:t>
            </w:r>
          </w:p>
        </w:tc>
        <w:tc>
          <w:tcPr>
            <w:tcW w:type="dxa" w:w="1728"/>
          </w:tcPr>
          <w:p>
            <w:r>
              <w:rPr>
                <w:rFonts w:ascii="Calibri" w:hAnsi="Calibri"/>
                <w:sz w:val="22"/>
              </w:rPr>
              <w:t>19% – 19.5%</w:t>
            </w:r>
          </w:p>
        </w:tc>
        <w:tc>
          <w:tcPr>
            <w:tcW w:type="dxa" w:w="1728"/>
          </w:tcPr>
          <w:p>
            <w:r>
              <w:rPr>
                <w:rFonts w:ascii="Calibri" w:hAnsi="Calibri"/>
                <w:sz w:val="22"/>
              </w:rPr>
              <w:t>—</w:t>
            </w:r>
          </w:p>
        </w:tc>
        <w:tc>
          <w:tcPr>
            <w:tcW w:type="dxa" w:w="1728"/>
          </w:tcPr>
          <w:p>
            <w:r>
              <w:rPr>
                <w:rFonts w:ascii="Calibri" w:hAnsi="Calibri"/>
                <w:sz w:val="22"/>
              </w:rPr>
              <w:t>19% – 19.5%</w:t>
            </w:r>
          </w:p>
        </w:tc>
        <w:tc>
          <w:tcPr>
            <w:tcW w:type="dxa" w:w="1728"/>
          </w:tcPr>
          <w:p>
            <w:r>
              <w:rPr>
                <w:rFonts w:ascii="Calibri" w:hAnsi="Calibri"/>
                <w:sz w:val="22"/>
              </w:rPr>
              <w:t>Q1 was 11% due to one-time valuation allowance release; higher rates expected Q2–Q4.</w:t>
            </w:r>
          </w:p>
        </w:tc>
      </w:tr>
      <w:tr>
        <w:tc>
          <w:tcPr>
            <w:tcW w:type="dxa" w:w="1728"/>
          </w:tcPr>
          <w:p>
            <w:r>
              <w:rPr>
                <w:rFonts w:ascii="Calibri" w:hAnsi="Calibri"/>
                <w:sz w:val="22"/>
              </w:rPr>
              <w:t>Leverage Ratio (YE 2026)</w:t>
            </w:r>
          </w:p>
        </w:tc>
        <w:tc>
          <w:tcPr>
            <w:tcW w:type="dxa" w:w="1728"/>
          </w:tcPr>
          <w:p>
            <w:r>
              <w:rPr>
                <w:rFonts w:ascii="Calibri" w:hAnsi="Calibri"/>
                <w:sz w:val="22"/>
              </w:rPr>
              <w:t>~3.0x gross debt/EBITDA</w:t>
            </w:r>
          </w:p>
        </w:tc>
        <w:tc>
          <w:tcPr>
            <w:tcW w:type="dxa" w:w="1728"/>
          </w:tcPr>
          <w:p>
            <w:r>
              <w:rPr>
                <w:rFonts w:ascii="Calibri" w:hAnsi="Calibri"/>
                <w:sz w:val="22"/>
              </w:rPr>
              <w:t>—</w:t>
            </w:r>
          </w:p>
        </w:tc>
        <w:tc>
          <w:tcPr>
            <w:tcW w:type="dxa" w:w="1728"/>
          </w:tcPr>
          <w:p>
            <w:r>
              <w:rPr>
                <w:rFonts w:ascii="Calibri" w:hAnsi="Calibri"/>
                <w:sz w:val="22"/>
              </w:rPr>
              <w:t>~3.0x</w:t>
            </w:r>
          </w:p>
        </w:tc>
        <w:tc>
          <w:tcPr>
            <w:tcW w:type="dxa" w:w="1728"/>
          </w:tcPr>
          <w:p>
            <w:r>
              <w:rPr>
                <w:rFonts w:ascii="Calibri" w:hAnsi="Calibri"/>
                <w:sz w:val="22"/>
              </w:rPr>
              <w:t>Q1 finished below 3.2x. €1B Euro notes issued June 23 for refinancing.</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w:t>
      </w:r>
      <w:r>
        <w:rPr>
          <w:rFonts w:ascii="Calibri" w:hAnsi="Calibri"/>
          <w:b/>
          <w:color w:val="525866"/>
          <w:sz w:val="22"/>
        </w:rPr>
        <w:t>flat since Q1 earnings</w:t>
      </w:r>
      <w:r>
        <w:rPr>
          <w:rFonts w:ascii="Calibri" w:hAnsi="Calibri"/>
          <w:color w:val="525866"/>
          <w:sz w:val="22"/>
        </w:rPr>
        <w:t>, tracking guidance rather than diverging. The lack of upward revision despite the Investor Day medium-term framework suggests the market is in a ‘show me’ posture — the H2 acceleration story needs to begin materializing in Q2 results and Q3 guidance to unlock re-rating.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 ~May 12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FY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$8.00 – $8.30 ($8.15 mid)</w:t>
            </w:r>
          </w:p>
        </w:tc>
        <w:tc>
          <w:tcPr>
            <w:tcW w:type="dxa" w:w="1080"/>
          </w:tcPr>
          <w:p>
            <w:r>
              <w:rPr>
                <w:rFonts w:ascii="Calibri" w:hAnsi="Calibri"/>
                <w:sz w:val="22"/>
              </w:rPr>
              <w:t>$8.00 – $8.30 (unchanged)</w:t>
            </w:r>
          </w:p>
        </w:tc>
        <w:tc>
          <w:tcPr>
            <w:tcW w:type="dxa" w:w="1080"/>
          </w:tcPr>
          <w:p>
            <w:r>
              <w:rPr>
                <w:rFonts w:ascii="Calibri" w:hAnsi="Calibri"/>
                <w:sz w:val="22"/>
              </w:rPr>
              <w:t>0%</w:t>
            </w:r>
          </w:p>
        </w:tc>
        <w:tc>
          <w:tcPr>
            <w:tcW w:type="dxa" w:w="1080"/>
          </w:tcPr>
          <w:p>
            <w:r>
              <w:rPr>
                <w:rFonts w:ascii="Calibri" w:hAnsi="Calibri"/>
                <w:sz w:val="22"/>
              </w:rPr>
              <w:t>In line with midpoint</w:t>
            </w:r>
          </w:p>
        </w:tc>
      </w:tr>
      <w:tr>
        <w:tc>
          <w:tcPr>
            <w:tcW w:type="dxa" w:w="1080"/>
          </w:tcPr>
          <w:p>
            <w:r>
              <w:rPr>
                <w:rFonts w:ascii="Calibri" w:hAnsi="Calibri"/>
                <w:sz w:val="22"/>
              </w:rPr>
              <w:t>Adj. Revenue Growth — FY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1% – 3%</w:t>
            </w:r>
          </w:p>
        </w:tc>
        <w:tc>
          <w:tcPr>
            <w:tcW w:type="dxa" w:w="1080"/>
          </w:tcPr>
          <w:p>
            <w:r>
              <w:rPr>
                <w:rFonts w:ascii="Calibri" w:hAnsi="Calibri"/>
                <w:sz w:val="22"/>
              </w:rPr>
              <w:t>1% – 3% (unchanged)</w:t>
            </w:r>
          </w:p>
        </w:tc>
        <w:tc>
          <w:tcPr>
            <w:tcW w:type="dxa" w:w="1080"/>
          </w:tcPr>
          <w:p>
            <w:r>
              <w:rPr>
                <w:rFonts w:ascii="Calibri" w:hAnsi="Calibri"/>
                <w:sz w:val="22"/>
              </w:rPr>
              <w:t>0%</w:t>
            </w:r>
          </w:p>
        </w:tc>
        <w:tc>
          <w:tcPr>
            <w:tcW w:type="dxa" w:w="1080"/>
          </w:tcPr>
          <w:p>
            <w:r>
              <w:rPr>
                <w:rFonts w:ascii="Calibri" w:hAnsi="Calibri"/>
                <w:sz w:val="22"/>
              </w:rPr>
              <w:t>In line</w:t>
            </w:r>
          </w:p>
        </w:tc>
      </w:tr>
      <w:tr>
        <w:tc>
          <w:tcPr>
            <w:tcW w:type="dxa" w:w="1080"/>
          </w:tcPr>
          <w:p>
            <w:r>
              <w:rPr>
                <w:rFonts w:ascii="Calibri" w:hAnsi="Calibri"/>
                <w:sz w:val="22"/>
              </w:rPr>
              <w:t>Adj. Operating Margin — FY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~34%</w:t>
            </w:r>
          </w:p>
        </w:tc>
        <w:tc>
          <w:tcPr>
            <w:tcW w:type="dxa" w:w="1080"/>
          </w:tcPr>
          <w:p>
            <w:r>
              <w:rPr>
                <w:rFonts w:ascii="Calibri" w:hAnsi="Calibri"/>
                <w:sz w:val="22"/>
              </w:rPr>
              <w:t>~34% (unchanged)</w:t>
            </w:r>
          </w:p>
        </w:tc>
        <w:tc>
          <w:tcPr>
            <w:tcW w:type="dxa" w:w="1080"/>
          </w:tcPr>
          <w:p>
            <w:r>
              <w:rPr>
                <w:rFonts w:ascii="Calibri" w:hAnsi="Calibri"/>
                <w:sz w:val="22"/>
              </w:rPr>
              <w:t>0%</w:t>
            </w:r>
          </w:p>
        </w:tc>
        <w:tc>
          <w:tcPr>
            <w:tcW w:type="dxa" w:w="1080"/>
          </w:tcPr>
          <w:p>
            <w:r>
              <w:rPr>
                <w:rFonts w:ascii="Calibri" w:hAnsi="Calibri"/>
                <w:sz w:val="22"/>
              </w:rPr>
              <w:t>In line</w:t>
            </w:r>
          </w:p>
        </w:tc>
      </w:tr>
      <w:tr>
        <w:tc>
          <w:tcPr>
            <w:tcW w:type="dxa" w:w="1080"/>
          </w:tcPr>
          <w:p>
            <w:r>
              <w:rPr>
                <w:rFonts w:ascii="Calibri" w:hAnsi="Calibri"/>
                <w:sz w:val="22"/>
              </w:rPr>
              <w:t>Clover Revenue Growth — FY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Low double digits</w:t>
            </w:r>
          </w:p>
        </w:tc>
        <w:tc>
          <w:tcPr>
            <w:tcW w:type="dxa" w:w="1080"/>
          </w:tcPr>
          <w:p>
            <w:r>
              <w:rPr>
                <w:rFonts w:ascii="Calibri" w:hAnsi="Calibri"/>
                <w:sz w:val="22"/>
              </w:rPr>
              <w:t>Low double digits (unchanged)</w:t>
            </w:r>
          </w:p>
        </w:tc>
        <w:tc>
          <w:tcPr>
            <w:tcW w:type="dxa" w:w="1080"/>
          </w:tcPr>
          <w:p>
            <w:r>
              <w:rPr>
                <w:rFonts w:ascii="Calibri" w:hAnsi="Calibri"/>
                <w:sz w:val="22"/>
              </w:rPr>
              <w:t>0%</w:t>
            </w:r>
          </w:p>
        </w:tc>
        <w:tc>
          <w:tcPr>
            <w:tcW w:type="dxa" w:w="1080"/>
          </w:tcPr>
          <w:p>
            <w:r>
              <w:rPr>
                <w:rFonts w:ascii="Calibri" w:hAnsi="Calibri"/>
                <w:sz w:val="22"/>
              </w:rPr>
              <w:t>In line</w:t>
            </w:r>
          </w:p>
        </w:tc>
      </w:tr>
    </w:tbl>
    <w:p>
      <w:r>
        <w:rPr>
          <w:rFonts w:ascii="Calibri" w:hAnsi="Calibri"/>
          <w:b/>
          <w:color w:val="525866"/>
          <w:sz w:val="22"/>
        </w:rPr>
        <w:t xml:space="preserve">Note: </w:t>
      </w:r>
      <w:r>
        <w:rPr>
          <w:rFonts w:ascii="Calibri" w:hAnsi="Calibri"/>
          <w:color w:val="525866"/>
          <w:sz w:val="22"/>
        </w:rPr>
        <w:t>Visible Alpha does not cover FISV with a mapped company ID; point-in-time consensus revision data is not available from VA. Estimate trajectory commentary is based on management guidance reaffirmations at Q1 earnings (May 5) and Investor Day (May 14), with no public guidance changes since. The absence of estimate cuts post-CEO departure (June 15) suggests the sell-side is in a wait-and-see posture pending Q2 results.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FISV has </w:t>
      </w:r>
      <w:r>
        <w:rPr>
          <w:rFonts w:ascii="Calibri" w:hAnsi="Calibri"/>
          <w:b/>
          <w:color w:val="525866"/>
          <w:sz w:val="22"/>
        </w:rPr>
        <w:t>underperformed sharply since Q1 earnings</w:t>
      </w:r>
      <w:r>
        <w:rPr>
          <w:rFonts w:ascii="Calibri" w:hAnsi="Calibri"/>
          <w:color w:val="525866"/>
          <w:sz w:val="22"/>
        </w:rPr>
        <w:t xml:space="preserve"> (-5.5% vs. SPY +6.4% and IPAY +9.8%), driven almost entirely by the June 15 CEO resignation shock. The stock fell ~11% on that single day, and has not recovered — the underperformance is sentiment/leadership-driven, not estimate-driven, which means a credible Q2 print with guidance reaffirmation could catalyze a meaningful re-rating.</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FISV vs. IPAY (Payments ETF) vs. S&amp;P 500 (SPY) — Indexed to 100 at Q1 2026 Earnings (May 5, 2026). Source: Yahoo Finance.</w:t>
      </w:r>
    </w:p>
    <w:p>
      <w:r>
        <w:rPr>
          <w:rFonts w:ascii="Calibri" w:hAnsi="Calibri"/>
          <w:b/>
          <w:color w:val="525866"/>
          <w:sz w:val="22"/>
        </w:rPr>
        <w:t xml:space="preserve">Key Events: </w:t>
      </w:r>
      <w:r>
        <w:rPr>
          <w:rFonts w:ascii="Calibri" w:hAnsi="Calibri"/>
          <w:color w:val="525866"/>
          <w:sz w:val="22"/>
        </w:rPr>
        <w:t>June 15 — CEO Michael Lyons resigned (stock -11% on the day); June 23 — €1B Euro Senior Notes offering completed (refinancing); July 7 — President Dhivya Suryadevara resigned. FISV closed at $54.11 on August 5, 2026 vs. $57.28 at last earnings, a decline of $3.17 / -5.5%. The payments sector ETF (IPAY) gained +9.8% over the same period, implying ~15 points of relative underperformance. The sector ETF used is IPAY (ETFMG Prime Mobile Payments ETF), which captures FISV’s fintech/payments peer group.</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dual leadership departure (CEO + President within 3 weeks)</w:t>
      </w:r>
      <w:r>
        <w:rPr>
          <w:rFonts w:ascii="Calibri" w:hAnsi="Calibri"/>
          <w:color w:val="525866"/>
          <w:sz w:val="22"/>
        </w:rPr>
        <w:t xml:space="preserve"> is the most material development since Q1 earnings and the primary driver of the stock’s underperformance. The Q2 print will be the first opportunity for new CEO Georgakopoulos to establish credibility with investors.</w:t>
      </w:r>
    </w:p>
    <w:p>
      <w:pPr>
        <w:pStyle w:val="ListBullet"/>
        <w:ind w:left="360" w:hanging="360"/>
      </w:pPr>
      <w:r>
        <w:rPr>
          <w:rFonts w:ascii="Calibri" w:hAnsi="Calibri"/>
          <w:b/>
          <w:color w:val="525866"/>
          <w:sz w:val="22"/>
        </w:rPr>
        <w:t xml:space="preserve">June 15, 2026 — CEO Michael Lyons Resigned; Takis Georgakopoulos Appointed CEO (8-K). </w:t>
      </w:r>
      <w:r>
        <w:rPr>
          <w:rFonts w:ascii="Calibri" w:hAnsi="Calibri"/>
          <w:color w:val="525866"/>
          <w:sz w:val="22"/>
        </w:rPr>
        <w:t xml:space="preserve">Lyons resigned effective June 12 with no severance, no accelerated vesting, and no stated disagreement with company strategy. Georgakopoulos (former Co-President, Head of Merchant &amp; Technology; previously Global Head of Payments at JPMorgan Chase 2017–2024) was appointed CEO June 14. Compensation: $1.3M base, 200% target bonus, $18.6M annual equity. </w:t>
      </w:r>
      <w:r>
        <w:rPr>
          <w:rFonts w:ascii="Calibri" w:hAnsi="Calibri"/>
          <w:b/>
          <w:color w:val="525866"/>
          <w:sz w:val="22"/>
        </w:rPr>
        <w:t xml:space="preserve">Implication: </w:t>
      </w:r>
      <w:r>
        <w:rPr>
          <w:rFonts w:ascii="Calibri" w:hAnsi="Calibri"/>
          <w:color w:val="525866"/>
          <w:sz w:val="22"/>
        </w:rPr>
        <w:t>Abrupt departure of a CEO appointed only 17 months prior (Jan 2025) is a significant governance red flag. Market will scrutinize whether Georgakopoulos modifies strategy or reaffirms the Investor Day framework.</w:t>
      </w:r>
    </w:p>
    <w:p>
      <w:pPr>
        <w:pStyle w:val="ListBullet"/>
        <w:ind w:left="360" w:hanging="360"/>
      </w:pPr>
      <w:r>
        <w:rPr>
          <w:rFonts w:ascii="Calibri" w:hAnsi="Calibri"/>
          <w:b/>
          <w:color w:val="525866"/>
          <w:sz w:val="22"/>
        </w:rPr>
        <w:t xml:space="preserve">July 7, 2026 — President Dhivya Suryadevara Resigned (8-K). </w:t>
      </w:r>
      <w:r>
        <w:rPr>
          <w:rFonts w:ascii="Calibri" w:hAnsi="Calibri"/>
          <w:color w:val="525866"/>
          <w:sz w:val="22"/>
        </w:rPr>
        <w:t xml:space="preserve">Suryadevara, who had been elevated to President upon Georgakopoulos’s CEO appointment, resigned within 3 weeks. Two C-suite departures in rapid succession amplify leadership instability concerns. </w:t>
      </w:r>
      <w:r>
        <w:rPr>
          <w:rFonts w:ascii="Calibri" w:hAnsi="Calibri"/>
          <w:b/>
          <w:color w:val="525866"/>
          <w:sz w:val="22"/>
        </w:rPr>
        <w:t xml:space="preserve">Implication: </w:t>
      </w:r>
      <w:r>
        <w:rPr>
          <w:rFonts w:ascii="Calibri" w:hAnsi="Calibri"/>
          <w:color w:val="525866"/>
          <w:sz w:val="22"/>
        </w:rPr>
        <w:t>Raises questions about internal alignment and whether the new CEO is reshaping the leadership team.</w:t>
      </w:r>
    </w:p>
    <w:p>
      <w:pPr>
        <w:pStyle w:val="ListBullet"/>
        <w:ind w:left="360" w:hanging="360"/>
      </w:pPr>
      <w:r>
        <w:rPr>
          <w:rFonts w:ascii="Calibri" w:hAnsi="Calibri"/>
          <w:b/>
          <w:color w:val="525866"/>
          <w:sz w:val="22"/>
        </w:rPr>
        <w:t xml:space="preserve">May 14, 2026 — Investor Day: Medium-Term Framework Unveiled. </w:t>
      </w:r>
      <w:r>
        <w:rPr>
          <w:rFonts w:ascii="Calibri" w:hAnsi="Calibri"/>
          <w:color w:val="525866"/>
          <w:sz w:val="22"/>
        </w:rPr>
        <w:t xml:space="preserve">Fiserv presented a 2026–2029 roadmap: 4–6% revenue CAGR, &gt;37% adjusted operating margin by 2029, &gt;$12 EPS by 2029, $13.5B+ cumulative FCF 2027–2029. Project Elevate targets $500M net cost reduction (&gt;200 bps margin benefit). Agent OS platform for banks launched in beta. </w:t>
      </w:r>
      <w:r>
        <w:rPr>
          <w:rFonts w:ascii="Calibri" w:hAnsi="Calibri"/>
          <w:b/>
          <w:color w:val="525866"/>
          <w:sz w:val="22"/>
        </w:rPr>
        <w:t xml:space="preserve">Implication: </w:t>
      </w:r>
      <w:r>
        <w:rPr>
          <w:rFonts w:ascii="Calibri" w:hAnsi="Calibri"/>
          <w:color w:val="525866"/>
          <w:sz w:val="22"/>
        </w:rPr>
        <w:t>Positive long-term framework, but credibility now depends on new CEO’s endorsement.</w:t>
      </w:r>
    </w:p>
    <w:p>
      <w:pPr>
        <w:pStyle w:val="ListBullet"/>
        <w:ind w:left="360" w:hanging="360"/>
      </w:pPr>
      <w:r>
        <w:rPr>
          <w:rFonts w:ascii="Calibri" w:hAnsi="Calibri"/>
          <w:b/>
          <w:color w:val="525866"/>
          <w:sz w:val="22"/>
        </w:rPr>
        <w:t xml:space="preserve">June 23, 2026 — €1 Billion Euro Senior Notes Offering Completed (8-K). </w:t>
      </w:r>
      <w:r>
        <w:rPr>
          <w:rFonts w:ascii="Calibri" w:hAnsi="Calibri"/>
          <w:color w:val="525866"/>
          <w:sz w:val="22"/>
        </w:rPr>
        <w:t xml:space="preserve">Fiserv completed a €1B Euro-denominated senior notes offering, concurrent with a tender offer for existing senior notes. </w:t>
      </w:r>
      <w:r>
        <w:rPr>
          <w:rFonts w:ascii="Calibri" w:hAnsi="Calibri"/>
          <w:b/>
          <w:color w:val="525866"/>
          <w:sz w:val="22"/>
        </w:rPr>
        <w:t xml:space="preserve">Implication: </w:t>
      </w:r>
      <w:r>
        <w:rPr>
          <w:rFonts w:ascii="Calibri" w:hAnsi="Calibri"/>
          <w:color w:val="525866"/>
          <w:sz w:val="22"/>
        </w:rPr>
        <w:t>Refinancing activity; extends debt maturity profile. Leverage target of ~3.0x by YE 2026 remains intact.</w:t>
      </w:r>
    </w:p>
    <w:p>
      <w:pPr>
        <w:pStyle w:val="ListBullet"/>
        <w:ind w:left="360" w:hanging="360"/>
      </w:pPr>
      <w:r>
        <w:rPr>
          <w:rFonts w:ascii="Calibri" w:hAnsi="Calibri"/>
          <w:b/>
          <w:color w:val="525866"/>
          <w:sz w:val="22"/>
        </w:rPr>
        <w:t xml:space="preserve">May 5, 2026 — Q1 2026 Results: In Line with Guidance. </w:t>
      </w:r>
      <w:r>
        <w:rPr>
          <w:rFonts w:ascii="Calibri" w:hAnsi="Calibri"/>
          <w:color w:val="525866"/>
          <w:sz w:val="22"/>
        </w:rPr>
        <w:t xml:space="preserve">Adjusted revenue -2.4% YoY to $4.68B; adjusted EPS $1.79 (aided by 11% tax rate vs. 19–19.5% guided); adjusted operating margin 29.7%. April merchant volumes ‘solid around Q1 levels.’ Full-year guidance reaffirmed. </w:t>
      </w:r>
      <w:r>
        <w:rPr>
          <w:rFonts w:ascii="Calibri" w:hAnsi="Calibri"/>
          <w:b/>
          <w:color w:val="525866"/>
          <w:sz w:val="22"/>
        </w:rPr>
        <w:t xml:space="preserve">Implication: </w:t>
      </w:r>
      <w:r>
        <w:rPr>
          <w:rFonts w:ascii="Calibri" w:hAnsi="Calibri"/>
          <w:color w:val="525866"/>
          <w:sz w:val="22"/>
        </w:rPr>
        <w:t>Clean execution against a guided trough; sets up Q2 as the next test.</w:t>
      </w:r>
    </w:p>
    <w:p>
      <w:pPr>
        <w:pStyle w:val="ListBullet"/>
        <w:ind w:left="360" w:hanging="360"/>
      </w:pPr>
      <w:r>
        <w:rPr>
          <w:rFonts w:ascii="Calibri" w:hAnsi="Calibri"/>
          <w:b/>
          <w:color w:val="525866"/>
          <w:sz w:val="22"/>
        </w:rPr>
        <w:t xml:space="preserve">Ongoing — ATM Business JV with Bridgeport Partners. </w:t>
      </w:r>
      <w:r>
        <w:rPr>
          <w:rFonts w:ascii="Calibri" w:hAnsi="Calibri"/>
          <w:color w:val="525866"/>
          <w:sz w:val="22"/>
        </w:rPr>
        <w:t xml:space="preserve">Announced at Investor Day: sale of majority stake in ATM servicing business for ~$300M after-tax proceeds; Fiserv retains 49% stake. Revenue run rate ~$200M. If closed by Q3-end, ~30 bps reduction to annual adjusted revenue growth rate. No EPS impact in 2026. </w:t>
      </w:r>
      <w:r>
        <w:rPr>
          <w:rFonts w:ascii="Calibri" w:hAnsi="Calibri"/>
          <w:b/>
          <w:color w:val="525866"/>
          <w:sz w:val="22"/>
        </w:rPr>
        <w:t xml:space="preserve">Implication: </w:t>
      </w:r>
      <w:r>
        <w:rPr>
          <w:rFonts w:ascii="Calibri" w:hAnsi="Calibri"/>
          <w:color w:val="525866"/>
          <w:sz w:val="22"/>
        </w:rPr>
        <w:t>Portfolio optimization; modest revenue headwind but cash proceeds support deleveraging.</w:t>
      </w:r>
    </w:p>
    <w:p>
      <w:pPr>
        <w:pStyle w:val="ListBullet"/>
        <w:ind w:left="360" w:hanging="360"/>
      </w:pPr>
      <w:r>
        <w:rPr>
          <w:rFonts w:ascii="Calibri" w:hAnsi="Calibri"/>
          <w:b/>
          <w:color w:val="525866"/>
          <w:sz w:val="22"/>
        </w:rPr>
        <w:t xml:space="preserve">Ongoing — Clover World Cup Activation. </w:t>
      </w:r>
      <w:r>
        <w:rPr>
          <w:rFonts w:ascii="Calibri" w:hAnsi="Calibri"/>
          <w:color w:val="525866"/>
          <w:sz w:val="22"/>
        </w:rPr>
        <w:t xml:space="preserve">Clover is supporting 30 FIFA World Cup games in the US and Mexico in summer 2026. </w:t>
      </w:r>
      <w:r>
        <w:rPr>
          <w:rFonts w:ascii="Calibri" w:hAnsi="Calibri"/>
          <w:b/>
          <w:color w:val="525866"/>
          <w:sz w:val="22"/>
        </w:rPr>
        <w:t xml:space="preserve">Implication: </w:t>
      </w:r>
      <w:r>
        <w:rPr>
          <w:rFonts w:ascii="Calibri" w:hAnsi="Calibri"/>
          <w:color w:val="525866"/>
          <w:sz w:val="22"/>
        </w:rPr>
        <w:t>Potential volume tailwind for Clover TPV in Q2/Q3; positive brand visibility for SMB platform.</w:t>
      </w:r>
    </w:p>
    <w:p>
      <w:pPr>
        <w:pStyle w:val="ListBullet"/>
        <w:ind w:left="360" w:hanging="360"/>
      </w:pPr>
      <w:r>
        <w:rPr>
          <w:rFonts w:ascii="Calibri" w:hAnsi="Calibri"/>
          <w:b/>
          <w:color w:val="525866"/>
          <w:sz w:val="22"/>
        </w:rPr>
        <w:t xml:space="preserve">Ongoing — Core Banking Attrition Elevated. </w:t>
      </w:r>
      <w:r>
        <w:rPr>
          <w:rFonts w:ascii="Calibri" w:hAnsi="Calibri"/>
          <w:color w:val="525866"/>
          <w:sz w:val="22"/>
        </w:rPr>
        <w:t xml:space="preserve">Core banking attrition remains ~150 bps vs. historical ~75 bps target. Management expects gradual normalization to historical levels by 2029. Core counts declined 2% YoY in Q1. </w:t>
      </w:r>
      <w:r>
        <w:rPr>
          <w:rFonts w:ascii="Calibri" w:hAnsi="Calibri"/>
          <w:b/>
          <w:color w:val="525866"/>
          <w:sz w:val="22"/>
        </w:rPr>
        <w:t xml:space="preserve">Implication: </w:t>
      </w:r>
      <w:r>
        <w:rPr>
          <w:rFonts w:ascii="Calibri" w:hAnsi="Calibri"/>
          <w:color w:val="525866"/>
          <w:sz w:val="22"/>
        </w:rPr>
        <w:t>Persistent headwind to Financial Solutions revenue; Q2 is expected to be the trough for this segment.</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earnings calls (reported July–August 2026) is broadly </w:t>
      </w:r>
      <w:r>
        <w:rPr>
          <w:rFonts w:ascii="Calibri" w:hAnsi="Calibri"/>
          <w:b/>
          <w:color w:val="525866"/>
          <w:sz w:val="22"/>
        </w:rPr>
        <w:t>constructive for FISV’s merchant business</w:t>
      </w:r>
      <w:r>
        <w:rPr>
          <w:rFonts w:ascii="Calibri" w:hAnsi="Calibri"/>
          <w:color w:val="525866"/>
          <w:sz w:val="22"/>
        </w:rPr>
        <w:t xml:space="preserve"> — consumer spending is resilient, SMB volumes are healthy, and payment volumes are accelerating. The read-through for Financial Solutions is more mixed: banking technology demand is strong (FIS, JKHY), but core banking competitive dynamics are intensifying. The macro backdrop (stable consumer, FIFA tailwind, no rate cuts) is net positive for Clover TPV.</w:t>
      </w:r>
    </w:p>
    <w:p>
      <w:pPr>
        <w:pStyle w:val="Heading3"/>
      </w:pPr>
      <w:r>
        <w:rPr>
          <w:rFonts w:ascii="Calibri" w:hAnsi="Calibri"/>
          <w:b/>
          <w:color w:val="3B4259"/>
          <w:sz w:val="24"/>
        </w:rPr>
        <w:t>Visa (V) — Q3 FY2026 Earnings (July 28, 2026) | Positive Read-Through for Clover/Merchant</w:t>
      </w:r>
    </w:p>
    <w:p>
      <w:r>
        <w:rPr>
          <w:rFonts w:ascii="Calibri" w:hAnsi="Calibri"/>
          <w:b/>
          <w:color w:val="525866"/>
          <w:sz w:val="22"/>
        </w:rPr>
        <w:t xml:space="preserve">Relevance: </w:t>
      </w:r>
      <w:r>
        <w:rPr>
          <w:rFonts w:ascii="Calibri" w:hAnsi="Calibri"/>
          <w:color w:val="525866"/>
          <w:sz w:val="22"/>
        </w:rPr>
        <w:t>Visa’s payment volume data is the most direct read-through for Fiserv’s Merchant Solutions segment, particularly Clover TPV and enterprise transaction growth.</w:t>
      </w:r>
    </w:p>
    <w:p>
      <w:pPr>
        <w:pStyle w:val="ListBullet"/>
        <w:ind w:left="360" w:hanging="360"/>
      </w:pPr>
      <w:r>
        <w:rPr>
          <w:rFonts w:ascii="Calibri" w:hAnsi="Calibri"/>
          <w:b/>
          <w:color w:val="525866"/>
          <w:sz w:val="22"/>
        </w:rPr>
        <w:t xml:space="preserve">U.S. payment volume grew 10% YoY in Visa’s fiscal Q3 (calendar Q2 2026), </w:t>
      </w:r>
      <w:r>
        <w:rPr>
          <w:rFonts w:ascii="Calibri" w:hAnsi="Calibri"/>
          <w:color w:val="525866"/>
          <w:sz w:val="22"/>
        </w:rPr>
        <w:t xml:space="preserve">accelerating ~2 points from Q2 — the strongest growth rate since fiscal 2019 (ex-COVID recovery). Both card-present and card-not-present accelerated. </w:t>
      </w:r>
      <w:r>
        <w:rPr>
          <w:rFonts w:ascii="Calibri" w:hAnsi="Calibri"/>
          <w:b/>
          <w:color w:val="525866"/>
          <w:sz w:val="22"/>
        </w:rPr>
        <w:t xml:space="preserve">FISV read-through: </w:t>
      </w:r>
      <w:r>
        <w:rPr>
          <w:rFonts w:ascii="Calibri" w:hAnsi="Calibri"/>
          <w:color w:val="525866"/>
          <w:sz w:val="22"/>
        </w:rPr>
        <w:t>Positive for Clover TPV and enterprise transaction volumes in Q2 2026.</w:t>
      </w:r>
    </w:p>
    <w:p>
      <w:pPr>
        <w:pStyle w:val="ListBullet"/>
        <w:ind w:left="360" w:hanging="360"/>
      </w:pPr>
      <w:r>
        <w:rPr>
          <w:rFonts w:ascii="Calibri" w:hAnsi="Calibri"/>
          <w:b/>
          <w:color w:val="525866"/>
          <w:sz w:val="22"/>
        </w:rPr>
        <w:t xml:space="preserve">FIFA World Cup drove a meaningful volume boost: </w:t>
      </w:r>
      <w:r>
        <w:rPr>
          <w:rFonts w:ascii="Calibri" w:hAnsi="Calibri"/>
          <w:color w:val="525866"/>
          <w:sz w:val="22"/>
        </w:rPr>
        <w:t xml:space="preserve">card-present transactions up as much as 20% in U.S. host cities on match days; cross-border card-present spend in U.S. host cities +25% YoY (June 11–30). </w:t>
      </w:r>
      <w:r>
        <w:rPr>
          <w:rFonts w:ascii="Calibri" w:hAnsi="Calibri"/>
          <w:b/>
          <w:color w:val="525866"/>
          <w:sz w:val="22"/>
        </w:rPr>
        <w:t xml:space="preserve">FISV read-through: </w:t>
      </w:r>
      <w:r>
        <w:rPr>
          <w:rFonts w:ascii="Calibri" w:hAnsi="Calibri"/>
          <w:color w:val="525866"/>
          <w:sz w:val="22"/>
        </w:rPr>
        <w:t>Clover is supporting 30 World Cup games — this is a direct volume tailwind for Clover TPV in Q2.</w:t>
      </w:r>
    </w:p>
    <w:p>
      <w:pPr>
        <w:pStyle w:val="ListBullet"/>
        <w:ind w:left="360" w:hanging="360"/>
      </w:pPr>
      <w:r>
        <w:rPr>
          <w:rFonts w:ascii="Calibri" w:hAnsi="Calibri"/>
          <w:b/>
          <w:color w:val="525866"/>
          <w:sz w:val="22"/>
        </w:rPr>
        <w:t xml:space="preserve">Consumer spending described as ‘strong and resilient’ with no signs of lower-spend consumer weakening. </w:t>
      </w:r>
      <w:r>
        <w:rPr>
          <w:rFonts w:ascii="Calibri" w:hAnsi="Calibri"/>
          <w:color w:val="525866"/>
          <w:sz w:val="22"/>
        </w:rPr>
        <w:t xml:space="preserve">Both discretionary and non-discretionary spend remained strong. </w:t>
      </w:r>
      <w:r>
        <w:rPr>
          <w:rFonts w:ascii="Calibri" w:hAnsi="Calibri"/>
          <w:b/>
          <w:color w:val="525866"/>
          <w:sz w:val="22"/>
        </w:rPr>
        <w:t xml:space="preserve">FISV read-through: </w:t>
      </w:r>
      <w:r>
        <w:rPr>
          <w:rFonts w:ascii="Calibri" w:hAnsi="Calibri"/>
          <w:color w:val="525866"/>
          <w:sz w:val="22"/>
        </w:rPr>
        <w:t>Supportive backdrop for Clover SMB volumes and enterprise merchant processing.</w:t>
      </w:r>
    </w:p>
    <w:p>
      <w:pPr>
        <w:pStyle w:val="ListBullet"/>
        <w:ind w:left="360" w:hanging="360"/>
      </w:pPr>
      <w:r>
        <w:rPr>
          <w:rFonts w:ascii="Calibri" w:hAnsi="Calibri"/>
          <w:b/>
          <w:color w:val="525866"/>
          <w:sz w:val="22"/>
        </w:rPr>
        <w:t xml:space="preserve">Visa launched an integrated DPS + Pismo issuer processing solution in the U.S., targeting smaller and mid-size banks and fintechs. </w:t>
      </w:r>
      <w:r>
        <w:rPr>
          <w:rFonts w:ascii="Calibri" w:hAnsi="Calibri"/>
          <w:b/>
          <w:color w:val="525866"/>
          <w:sz w:val="22"/>
        </w:rPr>
        <w:t xml:space="preserve">FISV read-through: </w:t>
      </w:r>
      <w:r>
        <w:rPr>
          <w:rFonts w:ascii="Calibri" w:hAnsi="Calibri"/>
          <w:color w:val="525866"/>
          <w:sz w:val="22"/>
        </w:rPr>
        <w:t>Competitive pressure on FISV’s FinTech/issuing business, though Visa explicitly targets smaller institutions vs. FISV’s large-bank focus.</w:t>
      </w:r>
    </w:p>
    <w:p>
      <w:pPr>
        <w:pStyle w:val="ListBullet"/>
        <w:ind w:left="360" w:hanging="360"/>
      </w:pPr>
      <w:r>
        <w:rPr>
          <w:rFonts w:ascii="Calibri" w:hAnsi="Calibri"/>
          <w:b/>
          <w:color w:val="525866"/>
          <w:sz w:val="22"/>
        </w:rPr>
        <w:t xml:space="preserve">As of July 21, U.S. payments volume was up 9% (step-down from June due to promotional event timing and fuel cost changes). </w:t>
      </w:r>
      <w:r>
        <w:rPr>
          <w:rFonts w:ascii="Calibri" w:hAnsi="Calibri"/>
          <w:b/>
          <w:color w:val="525866"/>
          <w:sz w:val="22"/>
        </w:rPr>
        <w:t xml:space="preserve">FISV read-through: </w:t>
      </w:r>
      <w:r>
        <w:rPr>
          <w:rFonts w:ascii="Calibri" w:hAnsi="Calibri"/>
          <w:color w:val="525866"/>
          <w:sz w:val="22"/>
        </w:rPr>
        <w:t>Q3 2026 merchant volume growth may moderate slightly from Q2 levels.</w:t>
      </w:r>
    </w:p>
    <w:p>
      <w:pPr>
        <w:pStyle w:val="Heading3"/>
      </w:pPr>
      <w:r>
        <w:rPr>
          <w:rFonts w:ascii="Calibri" w:hAnsi="Calibri"/>
          <w:b/>
          <w:color w:val="3B4259"/>
          <w:sz w:val="24"/>
        </w:rPr>
        <w:t>Mastercard (MA) — Q2 2026 Earnings (July 30, 2026) | Positive Read-Through for Merchant</w:t>
      </w:r>
    </w:p>
    <w:p>
      <w:r>
        <w:rPr>
          <w:rFonts w:ascii="Calibri" w:hAnsi="Calibri"/>
          <w:b/>
          <w:color w:val="525866"/>
          <w:sz w:val="22"/>
        </w:rPr>
        <w:t xml:space="preserve">Relevance: </w:t>
      </w:r>
      <w:r>
        <w:rPr>
          <w:rFonts w:ascii="Calibri" w:hAnsi="Calibri"/>
          <w:color w:val="525866"/>
          <w:sz w:val="22"/>
        </w:rPr>
        <w:t>Mastercard’s GDV and switched transaction data corroborates Visa’s volume trends and provides additional color on SMB and commercial spending.</w:t>
      </w:r>
    </w:p>
    <w:p>
      <w:pPr>
        <w:pStyle w:val="ListBullet"/>
        <w:ind w:left="360" w:hanging="360"/>
      </w:pPr>
      <w:r>
        <w:rPr>
          <w:rFonts w:ascii="Calibri" w:hAnsi="Calibri"/>
          <w:b/>
          <w:color w:val="525866"/>
          <w:sz w:val="22"/>
        </w:rPr>
        <w:t xml:space="preserve">Worldwide GDV grew 8% YoY in local currency; U.S. GDV +6% (credit +10%, debit +1% reported, +8% ex-Capital One migration). </w:t>
      </w:r>
      <w:r>
        <w:rPr>
          <w:rFonts w:ascii="Calibri" w:hAnsi="Calibri"/>
          <w:color w:val="525866"/>
          <w:sz w:val="22"/>
        </w:rPr>
        <w:t xml:space="preserve">Switched transactions grew 9% YoY. </w:t>
      </w:r>
      <w:r>
        <w:rPr>
          <w:rFonts w:ascii="Calibri" w:hAnsi="Calibri"/>
          <w:b/>
          <w:color w:val="525866"/>
          <w:sz w:val="22"/>
        </w:rPr>
        <w:t xml:space="preserve">FISV read-through: </w:t>
      </w:r>
      <w:r>
        <w:rPr>
          <w:rFonts w:ascii="Calibri" w:hAnsi="Calibri"/>
          <w:color w:val="525866"/>
          <w:sz w:val="22"/>
        </w:rPr>
        <w:t>Consistent with healthy payment processing volumes for FISV’s enterprise and SMB merchant businesses.</w:t>
      </w:r>
    </w:p>
    <w:p>
      <w:pPr>
        <w:pStyle w:val="ListBullet"/>
        <w:ind w:left="360" w:hanging="360"/>
      </w:pPr>
      <w:r>
        <w:rPr>
          <w:rFonts w:ascii="Calibri" w:hAnsi="Calibri"/>
          <w:b/>
          <w:color w:val="525866"/>
          <w:sz w:val="22"/>
        </w:rPr>
        <w:t xml:space="preserve">Cross-border volume +12% globally; cross-border card-not-present ex-travel +20%. </w:t>
      </w:r>
      <w:r>
        <w:rPr>
          <w:rFonts w:ascii="Calibri" w:hAnsi="Calibri"/>
          <w:b/>
          <w:color w:val="525866"/>
          <w:sz w:val="22"/>
        </w:rPr>
        <w:t xml:space="preserve">FISV read-through: </w:t>
      </w:r>
      <w:r>
        <w:rPr>
          <w:rFonts w:ascii="Calibri" w:hAnsi="Calibri"/>
          <w:color w:val="525866"/>
          <w:sz w:val="22"/>
        </w:rPr>
        <w:t>Positive for FISV’s Commercehub (global e-commerce gateway) and international Clover markets.</w:t>
      </w:r>
    </w:p>
    <w:p>
      <w:pPr>
        <w:pStyle w:val="ListBullet"/>
        <w:ind w:left="360" w:hanging="360"/>
      </w:pPr>
      <w:r>
        <w:rPr>
          <w:rFonts w:ascii="Calibri" w:hAnsi="Calibri"/>
          <w:b/>
          <w:color w:val="525866"/>
          <w:sz w:val="22"/>
        </w:rPr>
        <w:t xml:space="preserve">Macro described as ‘supportive’ with consumers and businesses ‘healthy and continue to spend.’ </w:t>
      </w:r>
      <w:r>
        <w:rPr>
          <w:rFonts w:ascii="Calibri" w:hAnsi="Calibri"/>
          <w:color w:val="525866"/>
          <w:sz w:val="22"/>
        </w:rPr>
        <w:t xml:space="preserve">Mastercard added 6M new small business cards per quarter on average. </w:t>
      </w:r>
      <w:r>
        <w:rPr>
          <w:rFonts w:ascii="Calibri" w:hAnsi="Calibri"/>
          <w:b/>
          <w:color w:val="525866"/>
          <w:sz w:val="22"/>
        </w:rPr>
        <w:t xml:space="preserve">FISV read-through: </w:t>
      </w:r>
      <w:r>
        <w:rPr>
          <w:rFonts w:ascii="Calibri" w:hAnsi="Calibri"/>
          <w:color w:val="525866"/>
          <w:sz w:val="22"/>
        </w:rPr>
        <w:t>Healthy SMB spending environment supports Clover new merchant acquisition and volume growth.</w:t>
      </w:r>
    </w:p>
    <w:p>
      <w:pPr>
        <w:pStyle w:val="ListBullet"/>
        <w:ind w:left="360" w:hanging="360"/>
      </w:pPr>
      <w:r>
        <w:rPr>
          <w:rFonts w:ascii="Calibri" w:hAnsi="Calibri"/>
          <w:b/>
          <w:color w:val="525866"/>
          <w:sz w:val="22"/>
        </w:rPr>
        <w:t xml:space="preserve">Value-added services revenue grew 18% YoY — strong demand for security, authentication, and data analytics. </w:t>
      </w:r>
      <w:r>
        <w:rPr>
          <w:rFonts w:ascii="Calibri" w:hAnsi="Calibri"/>
          <w:b/>
          <w:color w:val="525866"/>
          <w:sz w:val="22"/>
        </w:rPr>
        <w:t xml:space="preserve">FISV read-through: </w:t>
      </w:r>
      <w:r>
        <w:rPr>
          <w:rFonts w:ascii="Calibri" w:hAnsi="Calibri"/>
          <w:color w:val="525866"/>
          <w:sz w:val="22"/>
        </w:rPr>
        <w:t>Validates FISV’s strategy of growing Clover VAS (currently 27% of Clover revenue, growing 18% YoY) as a revenue uplift lever above TPV growth.</w:t>
      </w:r>
    </w:p>
    <w:p>
      <w:pPr>
        <w:pStyle w:val="ListBullet"/>
        <w:ind w:left="360" w:hanging="360"/>
      </w:pPr>
      <w:r>
        <w:rPr>
          <w:rFonts w:ascii="Calibri" w:hAnsi="Calibri"/>
          <w:b/>
          <w:color w:val="525866"/>
          <w:sz w:val="22"/>
        </w:rPr>
        <w:t xml:space="preserve">FY 2026 guidance raised: net revenue growth now expected at high end of low double digits (currency neutral). </w:t>
      </w:r>
      <w:r>
        <w:rPr>
          <w:rFonts w:ascii="Calibri" w:hAnsi="Calibri"/>
          <w:b/>
          <w:color w:val="525866"/>
          <w:sz w:val="22"/>
        </w:rPr>
        <w:t xml:space="preserve">FISV read-through: </w:t>
      </w:r>
      <w:r>
        <w:rPr>
          <w:rFonts w:ascii="Calibri" w:hAnsi="Calibri"/>
          <w:color w:val="525866"/>
          <w:sz w:val="22"/>
        </w:rPr>
        <w:t>Sector tailwinds are strengthening, not weakening — positive backdrop for FISV’s H2 acceleration thesis.</w:t>
      </w:r>
    </w:p>
    <w:p>
      <w:pPr>
        <w:pStyle w:val="Heading3"/>
      </w:pPr>
      <w:r>
        <w:rPr>
          <w:rFonts w:ascii="Calibri" w:hAnsi="Calibri"/>
          <w:b/>
          <w:color w:val="3B4259"/>
          <w:sz w:val="24"/>
        </w:rPr>
        <w:t>Global Payments (GPN) — Q2 2026 Earnings (August 5, 2026) | Mixed Read-Through</w:t>
      </w:r>
    </w:p>
    <w:p>
      <w:r>
        <w:rPr>
          <w:rFonts w:ascii="Calibri" w:hAnsi="Calibri"/>
          <w:b/>
          <w:color w:val="525866"/>
          <w:sz w:val="22"/>
        </w:rPr>
        <w:t xml:space="preserve">Relevance: </w:t>
      </w:r>
      <w:r>
        <w:rPr>
          <w:rFonts w:ascii="Calibri" w:hAnsi="Calibri"/>
          <w:color w:val="525866"/>
          <w:sz w:val="22"/>
        </w:rPr>
        <w:t>GPN is FISV’s most direct merchant acquiring peer, competing in SMB, enterprise, and embedded payments. GPN reported Q2 2026 on the same day as this preview.</w:t>
      </w:r>
    </w:p>
    <w:p>
      <w:pPr>
        <w:pStyle w:val="ListBullet"/>
        <w:ind w:left="360" w:hanging="360"/>
      </w:pPr>
      <w:r>
        <w:rPr>
          <w:rFonts w:ascii="Calibri" w:hAnsi="Calibri"/>
          <w:b/>
          <w:color w:val="525866"/>
          <w:sz w:val="22"/>
        </w:rPr>
        <w:t xml:space="preserve">Adjusted net revenue grew 4% normalized in Q2 2026; adjusted EPS +12%; margins expanded 70 bps. </w:t>
      </w:r>
      <w:r>
        <w:rPr>
          <w:rFonts w:ascii="Calibri" w:hAnsi="Calibri"/>
          <w:b/>
          <w:color w:val="525866"/>
          <w:sz w:val="22"/>
        </w:rPr>
        <w:t xml:space="preserve">FISV read-through: </w:t>
      </w:r>
      <w:r>
        <w:rPr>
          <w:rFonts w:ascii="Calibri" w:hAnsi="Calibri"/>
          <w:color w:val="525866"/>
          <w:sz w:val="22"/>
        </w:rPr>
        <w:t>GPN executing well on its own transformation — sets a credible benchmark for FISV’s merchant segment recovery.</w:t>
      </w:r>
    </w:p>
    <w:p>
      <w:pPr>
        <w:pStyle w:val="ListBullet"/>
        <w:ind w:left="360" w:hanging="360"/>
      </w:pPr>
      <w:r>
        <w:rPr>
          <w:rFonts w:ascii="Calibri" w:hAnsi="Calibri"/>
          <w:b/>
          <w:color w:val="525866"/>
          <w:sz w:val="22"/>
        </w:rPr>
        <w:t xml:space="preserve">SMB segment: $1.51B adjusted net revenue, +4% normalized, underpinned by 4% volume growth. Genius bookings +25% sequentially; new merchant locations per sales rep +30% since start of year. </w:t>
      </w:r>
      <w:r>
        <w:rPr>
          <w:rFonts w:ascii="Calibri" w:hAnsi="Calibri"/>
          <w:b/>
          <w:color w:val="525866"/>
          <w:sz w:val="22"/>
        </w:rPr>
        <w:t xml:space="preserve">FISV read-through: </w:t>
      </w:r>
      <w:r>
        <w:rPr>
          <w:rFonts w:ascii="Calibri" w:hAnsi="Calibri"/>
          <w:color w:val="525866"/>
          <w:sz w:val="22"/>
        </w:rPr>
        <w:t>SMB payment volumes are healthy. Clover’s competitive positioning vs. Genius will be a key investor focus.</w:t>
      </w:r>
    </w:p>
    <w:p>
      <w:pPr>
        <w:pStyle w:val="ListBullet"/>
        <w:ind w:left="360" w:hanging="360"/>
      </w:pPr>
      <w:r>
        <w:rPr>
          <w:rFonts w:ascii="Calibri" w:hAnsi="Calibri"/>
          <w:b/>
          <w:color w:val="525866"/>
          <w:sz w:val="22"/>
        </w:rPr>
        <w:t xml:space="preserve">Enterprise segment: +7% normalized despite ~400 bps headwind from Middle East conflict on travel portfolio. Card-not-present (e-commerce) grew low double digits. </w:t>
      </w:r>
      <w:r>
        <w:rPr>
          <w:rFonts w:ascii="Calibri" w:hAnsi="Calibri"/>
          <w:b/>
          <w:color w:val="525866"/>
          <w:sz w:val="22"/>
        </w:rPr>
        <w:t xml:space="preserve">FISV read-through: </w:t>
      </w:r>
      <w:r>
        <w:rPr>
          <w:rFonts w:ascii="Calibri" w:hAnsi="Calibri"/>
          <w:color w:val="525866"/>
          <w:sz w:val="22"/>
        </w:rPr>
        <w:t>Enterprise volumes are resilient; FISV’s enterprise merchant business (+3% organic in Q1) should benefit from similar tailwinds.</w:t>
      </w:r>
    </w:p>
    <w:p>
      <w:pPr>
        <w:pStyle w:val="ListBullet"/>
        <w:ind w:left="360" w:hanging="360"/>
      </w:pPr>
      <w:r>
        <w:rPr>
          <w:rFonts w:ascii="Calibri" w:hAnsi="Calibri"/>
          <w:b/>
          <w:color w:val="525866"/>
          <w:sz w:val="22"/>
        </w:rPr>
        <w:t xml:space="preserve">Platforms/embedded payments growing ~20%; value-added services revenue +25%. </w:t>
      </w:r>
      <w:r>
        <w:rPr>
          <w:rFonts w:ascii="Calibri" w:hAnsi="Calibri"/>
          <w:b/>
          <w:color w:val="525866"/>
          <w:sz w:val="22"/>
        </w:rPr>
        <w:t xml:space="preserve">FISV read-through: </w:t>
      </w:r>
      <w:r>
        <w:rPr>
          <w:rFonts w:ascii="Calibri" w:hAnsi="Calibri"/>
          <w:color w:val="525866"/>
          <w:sz w:val="22"/>
        </w:rPr>
        <w:t>Validates FISV’s embedded finance and Clover VAS strategy as a high-growth vector.</w:t>
      </w:r>
    </w:p>
    <w:p>
      <w:pPr>
        <w:pStyle w:val="ListBullet"/>
        <w:ind w:left="360" w:hanging="360"/>
      </w:pPr>
      <w:r>
        <w:rPr>
          <w:rFonts w:ascii="Calibri" w:hAnsi="Calibri"/>
          <w:b/>
          <w:color w:val="525866"/>
          <w:sz w:val="22"/>
        </w:rPr>
        <w:t xml:space="preserve">FY 2026 guidance: normalized constant currency revenue growth 4–5%; adjusted EPS $13.80 (+11–13%). H2 2026 revenue growth expected ~4.5% with 200 bps margin expansion. </w:t>
      </w:r>
      <w:r>
        <w:rPr>
          <w:rFonts w:ascii="Calibri" w:hAnsi="Calibri"/>
          <w:b/>
          <w:color w:val="525866"/>
          <w:sz w:val="22"/>
        </w:rPr>
        <w:t xml:space="preserve">FISV read-through: </w:t>
      </w:r>
      <w:r>
        <w:rPr>
          <w:rFonts w:ascii="Calibri" w:hAnsi="Calibri"/>
          <w:color w:val="525866"/>
          <w:sz w:val="22"/>
        </w:rPr>
        <w:t>GPN’s H2 acceleration narrative mirrors FISV’s — if GPN delivers, it validates the sector-wide H2 recovery thesis that FISV is also counting on.</w:t>
      </w:r>
    </w:p>
    <w:p>
      <w:pPr>
        <w:pStyle w:val="Heading3"/>
      </w:pPr>
      <w:r>
        <w:rPr>
          <w:rFonts w:ascii="Calibri" w:hAnsi="Calibri"/>
          <w:b/>
          <w:color w:val="3B4259"/>
          <w:sz w:val="24"/>
        </w:rPr>
        <w:t>FIS — Q2 2026 Earnings (August 4, 2026) | Positive Read-Through for Banking Technology Demand</w:t>
      </w:r>
    </w:p>
    <w:p>
      <w:r>
        <w:rPr>
          <w:rFonts w:ascii="Calibri" w:hAnsi="Calibri"/>
          <w:b/>
          <w:color w:val="525866"/>
          <w:sz w:val="22"/>
        </w:rPr>
        <w:t xml:space="preserve">Relevance: </w:t>
      </w:r>
      <w:r>
        <w:rPr>
          <w:rFonts w:ascii="Calibri" w:hAnsi="Calibri"/>
          <w:color w:val="525866"/>
          <w:sz w:val="22"/>
        </w:rPr>
        <w:t>FIS is FISV’s closest peer in banking technology and issuing. FIS’s commentary on banking demand, core modernization, and issuing is a direct read-through for FISV’s Financial Solutions segment.</w:t>
      </w:r>
    </w:p>
    <w:p>
      <w:pPr>
        <w:pStyle w:val="ListBullet"/>
        <w:ind w:left="360" w:hanging="360"/>
      </w:pPr>
      <w:r>
        <w:rPr>
          <w:rFonts w:ascii="Calibri" w:hAnsi="Calibri"/>
          <w:b/>
          <w:color w:val="525866"/>
          <w:sz w:val="22"/>
        </w:rPr>
        <w:t xml:space="preserve">Banking revenue grew 6.1% in Q2 2026 (high end of outlook); recurring revenue +5%; recurring sales +14%. </w:t>
      </w:r>
      <w:r>
        <w:rPr>
          <w:rFonts w:ascii="Calibri" w:hAnsi="Calibri"/>
          <w:b/>
          <w:color w:val="525866"/>
          <w:sz w:val="22"/>
        </w:rPr>
        <w:t xml:space="preserve">FISV read-through: </w:t>
      </w:r>
      <w:r>
        <w:rPr>
          <w:rFonts w:ascii="Calibri" w:hAnsi="Calibri"/>
          <w:color w:val="525866"/>
          <w:sz w:val="22"/>
        </w:rPr>
        <w:t>Banking technology demand is strong. FISV’s Financial Solutions segment is facing non-recurring headwinds, not a demand problem — consistent with management’s characterization.</w:t>
      </w:r>
    </w:p>
    <w:p>
      <w:pPr>
        <w:pStyle w:val="ListBullet"/>
        <w:ind w:left="360" w:hanging="360"/>
      </w:pPr>
      <w:r>
        <w:rPr>
          <w:rFonts w:ascii="Calibri" w:hAnsi="Calibri"/>
          <w:b/>
          <w:color w:val="525866"/>
          <w:sz w:val="22"/>
        </w:rPr>
        <w:t xml:space="preserve">‘Banking demand environment is really strong.’ Banks seeking digital currencies, debit/credit capabilities, fraud/data solutions, and modernization. FIS does not see banks delaying decisions. </w:t>
      </w:r>
      <w:r>
        <w:rPr>
          <w:rFonts w:ascii="Calibri" w:hAnsi="Calibri"/>
          <w:b/>
          <w:color w:val="525866"/>
          <w:sz w:val="22"/>
        </w:rPr>
        <w:t xml:space="preserve">FISV read-through: </w:t>
      </w:r>
      <w:r>
        <w:rPr>
          <w:rFonts w:ascii="Calibri" w:hAnsi="Calibri"/>
          <w:color w:val="525866"/>
          <w:sz w:val="22"/>
        </w:rPr>
        <w:t>Validates FISV’s pipeline commentary and the medium-term Financial Solutions recovery thesis.</w:t>
      </w:r>
    </w:p>
    <w:p>
      <w:pPr>
        <w:pStyle w:val="ListBullet"/>
        <w:ind w:left="360" w:hanging="360"/>
      </w:pPr>
      <w:r>
        <w:rPr>
          <w:rFonts w:ascii="Calibri" w:hAnsi="Calibri"/>
          <w:b/>
          <w:color w:val="525866"/>
          <w:sz w:val="22"/>
        </w:rPr>
        <w:t xml:space="preserve">FIS explicitly addressed Visa/Pismo competition: ‘Their strategy around Pismo is to target small to midsize banks and fintechs, not large banks where we operate.’ Win rate for large FIs (&gt;1M accounts) above 85%. </w:t>
      </w:r>
      <w:r>
        <w:rPr>
          <w:rFonts w:ascii="Calibri" w:hAnsi="Calibri"/>
          <w:b/>
          <w:color w:val="525866"/>
          <w:sz w:val="22"/>
        </w:rPr>
        <w:t xml:space="preserve">FISV read-through: </w:t>
      </w:r>
      <w:r>
        <w:rPr>
          <w:rFonts w:ascii="Calibri" w:hAnsi="Calibri"/>
          <w:color w:val="525866"/>
          <w:sz w:val="22"/>
        </w:rPr>
        <w:t>Competitive dynamics in core banking are manageable for large-bank-focused players. FISV’s FinTech platform (accounts up &gt;70% YoY) is positioned in the modern/fintech segment where competition is intensifying.</w:t>
      </w:r>
    </w:p>
    <w:p>
      <w:pPr>
        <w:pStyle w:val="ListBullet"/>
        <w:ind w:left="360" w:hanging="360"/>
      </w:pPr>
      <w:r>
        <w:rPr>
          <w:rFonts w:ascii="Calibri" w:hAnsi="Calibri"/>
          <w:b/>
          <w:color w:val="525866"/>
          <w:sz w:val="22"/>
        </w:rPr>
        <w:t xml:space="preserve">FIS raised free cash flow outlook by $100M to $2.15–$2.25B (36% YoY growth at midpoint). </w:t>
      </w:r>
      <w:r>
        <w:rPr>
          <w:rFonts w:ascii="Calibri" w:hAnsi="Calibri"/>
          <w:b/>
          <w:color w:val="525866"/>
          <w:sz w:val="22"/>
        </w:rPr>
        <w:t xml:space="preserve">FISV read-through: </w:t>
      </w:r>
      <w:r>
        <w:rPr>
          <w:rFonts w:ascii="Calibri" w:hAnsi="Calibri"/>
          <w:color w:val="525866"/>
          <w:sz w:val="22"/>
        </w:rPr>
        <w:t>FCF execution is achievable in the banking tech sector; supports FISV’s ~90% FCF conversion target.</w:t>
      </w:r>
    </w:p>
    <w:p>
      <w:pPr>
        <w:pStyle w:val="ListBullet"/>
        <w:ind w:left="360" w:hanging="360"/>
      </w:pPr>
      <w:r>
        <w:rPr>
          <w:rFonts w:ascii="Calibri" w:hAnsi="Calibri"/>
          <w:b/>
          <w:color w:val="525866"/>
          <w:sz w:val="22"/>
        </w:rPr>
        <w:t xml:space="preserve">Capital Markets revenue growth cut to 3–3.5% (from 5.5%) due to interest rate pressures on lending volumes. </w:t>
      </w:r>
      <w:r>
        <w:rPr>
          <w:rFonts w:ascii="Calibri" w:hAnsi="Calibri"/>
          <w:b/>
          <w:color w:val="525866"/>
          <w:sz w:val="22"/>
        </w:rPr>
        <w:t xml:space="preserve">FISV read-through: </w:t>
      </w:r>
      <w:r>
        <w:rPr>
          <w:rFonts w:ascii="Calibri" w:hAnsi="Calibri"/>
          <w:color w:val="525866"/>
          <w:sz w:val="22"/>
        </w:rPr>
        <w:t>Rate environment is a headwind for lending-exposed businesses; FISV’s bill pay decline (high-single digits in Q1) reflects similar secular pressures in digital payments.</w:t>
      </w:r>
    </w:p>
    <w:p>
      <w:pPr>
        <w:pStyle w:val="Heading3"/>
      </w:pPr>
      <w:r>
        <w:rPr>
          <w:rFonts w:ascii="Calibri" w:hAnsi="Calibri"/>
          <w:b/>
          <w:color w:val="3B4259"/>
          <w:sz w:val="24"/>
        </w:rPr>
        <w:t>American Express (AXP) — Q2 2026 Earnings (July 24, 2026) | Positive Read-Through for Consumer/SMB Spending</w:t>
      </w:r>
    </w:p>
    <w:p>
      <w:r>
        <w:rPr>
          <w:rFonts w:ascii="Calibri" w:hAnsi="Calibri"/>
          <w:b/>
          <w:color w:val="525866"/>
          <w:sz w:val="22"/>
        </w:rPr>
        <w:t xml:space="preserve">Relevance: </w:t>
      </w:r>
      <w:r>
        <w:rPr>
          <w:rFonts w:ascii="Calibri" w:hAnsi="Calibri"/>
          <w:color w:val="525866"/>
          <w:sz w:val="22"/>
        </w:rPr>
        <w:t>AXP’s billed business data provides a high-quality read on consumer and SMB spending trends relevant to Clover’s merchant base.</w:t>
      </w:r>
    </w:p>
    <w:p>
      <w:pPr>
        <w:pStyle w:val="ListBullet"/>
        <w:ind w:left="360" w:hanging="360"/>
      </w:pPr>
      <w:r>
        <w:rPr>
          <w:rFonts w:ascii="Calibri" w:hAnsi="Calibri"/>
          <w:b/>
          <w:color w:val="525866"/>
          <w:sz w:val="22"/>
        </w:rPr>
        <w:t xml:space="preserve">Overall billed business +9.4% FX-adjusted in Q2 2026, accelerating ~1 point from Q1. U.S. consumer spending +11% — highest growth since Q1 2018 (ex-COVID). </w:t>
      </w:r>
      <w:r>
        <w:rPr>
          <w:rFonts w:ascii="Calibri" w:hAnsi="Calibri"/>
          <w:b/>
          <w:color w:val="525866"/>
          <w:sz w:val="22"/>
        </w:rPr>
        <w:t xml:space="preserve">FISV read-through: </w:t>
      </w:r>
      <w:r>
        <w:rPr>
          <w:rFonts w:ascii="Calibri" w:hAnsi="Calibri"/>
          <w:color w:val="525866"/>
          <w:sz w:val="22"/>
        </w:rPr>
        <w:t>Consumer spending is accelerating, not decelerating — a strong tailwind for Clover SMB volumes.</w:t>
      </w:r>
    </w:p>
    <w:p>
      <w:pPr>
        <w:pStyle w:val="ListBullet"/>
        <w:ind w:left="360" w:hanging="360"/>
      </w:pPr>
      <w:r>
        <w:rPr>
          <w:rFonts w:ascii="Calibri" w:hAnsi="Calibri"/>
          <w:b/>
          <w:color w:val="525866"/>
          <w:sz w:val="22"/>
        </w:rPr>
        <w:t xml:space="preserve">Restaurant spending +10%; retail +13% FX-adjusted; airline +10%. Travel &amp; Entertainment +10% overall. </w:t>
      </w:r>
      <w:r>
        <w:rPr>
          <w:rFonts w:ascii="Calibri" w:hAnsi="Calibri"/>
          <w:b/>
          <w:color w:val="525866"/>
          <w:sz w:val="22"/>
        </w:rPr>
        <w:t xml:space="preserve">FISV read-through: </w:t>
      </w:r>
      <w:r>
        <w:rPr>
          <w:rFonts w:ascii="Calibri" w:hAnsi="Calibri"/>
          <w:color w:val="525866"/>
          <w:sz w:val="22"/>
        </w:rPr>
        <w:t>Clover’s restaurant and retail verticals (core SMB categories) are seeing strong spend. Positive for Clover TPV in Q2.</w:t>
      </w:r>
    </w:p>
    <w:p>
      <w:pPr>
        <w:pStyle w:val="ListBullet"/>
        <w:ind w:left="360" w:hanging="360"/>
      </w:pPr>
      <w:r>
        <w:rPr>
          <w:rFonts w:ascii="Calibri" w:hAnsi="Calibri"/>
          <w:b/>
          <w:color w:val="525866"/>
          <w:sz w:val="22"/>
        </w:rPr>
        <w:t xml:space="preserve">Small business spending ‘very strong’; commercial spending +5% with U.S. SME and large global customers growing at the same pace. </w:t>
      </w:r>
      <w:r>
        <w:rPr>
          <w:rFonts w:ascii="Calibri" w:hAnsi="Calibri"/>
          <w:b/>
          <w:color w:val="525866"/>
          <w:sz w:val="22"/>
        </w:rPr>
        <w:t xml:space="preserve">FISV read-through: </w:t>
      </w:r>
      <w:r>
        <w:rPr>
          <w:rFonts w:ascii="Calibri" w:hAnsi="Calibri"/>
          <w:color w:val="525866"/>
          <w:sz w:val="22"/>
        </w:rPr>
        <w:t>SMB health is intact — supports Clover’s new merchant acquisition and VAS attach rates.</w:t>
      </w:r>
    </w:p>
    <w:p>
      <w:pPr>
        <w:pStyle w:val="ListBullet"/>
        <w:ind w:left="360" w:hanging="360"/>
      </w:pPr>
      <w:r>
        <w:rPr>
          <w:rFonts w:ascii="Calibri" w:hAnsi="Calibri"/>
          <w:b/>
          <w:color w:val="525866"/>
          <w:sz w:val="22"/>
        </w:rPr>
        <w:t xml:space="preserve">AXP raised full-year revenue growth guidance to 10% (from prior range). No evidence of general slowdown despite geopolitical impacts. </w:t>
      </w:r>
      <w:r>
        <w:rPr>
          <w:rFonts w:ascii="Calibri" w:hAnsi="Calibri"/>
          <w:b/>
          <w:color w:val="525866"/>
          <w:sz w:val="22"/>
        </w:rPr>
        <w:t xml:space="preserve">FISV read-through: </w:t>
      </w:r>
      <w:r>
        <w:rPr>
          <w:rFonts w:ascii="Calibri" w:hAnsi="Calibri"/>
          <w:color w:val="525866"/>
          <w:sz w:val="22"/>
        </w:rPr>
        <w:t>Sector-wide spending momentum is building into H2 2026, supporting FISV’s H2 acceleration thesis.</w:t>
      </w:r>
    </w:p>
    <w:p>
      <w:pPr>
        <w:pStyle w:val="Heading3"/>
      </w:pPr>
      <w:r>
        <w:rPr>
          <w:rFonts w:ascii="Calibri" w:hAnsi="Calibri"/>
          <w:b/>
          <w:color w:val="3B4259"/>
          <w:sz w:val="24"/>
        </w:rPr>
        <w:t>PayPal (PYPL) — Q2 2026 Earnings (July 28, 2026) | Neutral Read-Through</w:t>
      </w:r>
    </w:p>
    <w:p>
      <w:r>
        <w:rPr>
          <w:rFonts w:ascii="Calibri" w:hAnsi="Calibri"/>
          <w:b/>
          <w:color w:val="525866"/>
          <w:sz w:val="22"/>
        </w:rPr>
        <w:t xml:space="preserve">Relevance: </w:t>
      </w:r>
      <w:r>
        <w:rPr>
          <w:rFonts w:ascii="Calibri" w:hAnsi="Calibri"/>
          <w:color w:val="525866"/>
          <w:sz w:val="22"/>
        </w:rPr>
        <w:t>PayPal’s TPV and branded checkout trends provide context on digital payment volume growth and competitive dynamics in the SMB/e-commerce space.</w:t>
      </w:r>
    </w:p>
    <w:p>
      <w:pPr>
        <w:pStyle w:val="ListBullet"/>
        <w:ind w:left="360" w:hanging="360"/>
      </w:pPr>
      <w:r>
        <w:rPr>
          <w:rFonts w:ascii="Calibri" w:hAnsi="Calibri"/>
          <w:b/>
          <w:color w:val="525866"/>
          <w:sz w:val="22"/>
        </w:rPr>
        <w:t xml:space="preserve">Total payment volume $486B, +9% currency-neutral. Branded checkout TPV +2% (stabilizing). Venmo +14% (7th consecutive quarter of double-digit growth). Braintree mid-teens. </w:t>
      </w:r>
      <w:r>
        <w:rPr>
          <w:rFonts w:ascii="Calibri" w:hAnsi="Calibri"/>
          <w:b/>
          <w:color w:val="525866"/>
          <w:sz w:val="22"/>
        </w:rPr>
        <w:t xml:space="preserve">FISV read-through: </w:t>
      </w:r>
      <w:r>
        <w:rPr>
          <w:rFonts w:ascii="Calibri" w:hAnsi="Calibri"/>
          <w:color w:val="525866"/>
          <w:sz w:val="22"/>
        </w:rPr>
        <w:t>Digital payment volumes are healthy overall; branded checkout stabilization suggests the competitive environment for card-present/Clover is not deteriorating.</w:t>
      </w:r>
    </w:p>
    <w:p>
      <w:pPr>
        <w:pStyle w:val="ListBullet"/>
        <w:ind w:left="360" w:hanging="360"/>
      </w:pPr>
      <w:r>
        <w:rPr>
          <w:rFonts w:ascii="Calibri" w:hAnsi="Calibri"/>
          <w:b/>
          <w:color w:val="525866"/>
          <w:sz w:val="22"/>
        </w:rPr>
        <w:t xml:space="preserve">BNPL grew 26%; Pay with Venmo +44%. PayPal raising FY 2026 guidance: transaction margin dollars to ~$15.6B; non-GAAP EPS to $5.38. </w:t>
      </w:r>
      <w:r>
        <w:rPr>
          <w:rFonts w:ascii="Calibri" w:hAnsi="Calibri"/>
          <w:b/>
          <w:color w:val="525866"/>
          <w:sz w:val="22"/>
        </w:rPr>
        <w:t xml:space="preserve">FISV read-through: </w:t>
      </w:r>
      <w:r>
        <w:rPr>
          <w:rFonts w:ascii="Calibri" w:hAnsi="Calibri"/>
          <w:color w:val="525866"/>
          <w:sz w:val="22"/>
        </w:rPr>
        <w:t>BNPL momentum validates FISV’s Clover Capital (lending) and Clover Savings strategy as value-added services that drive revenue above TPV growth.</w:t>
      </w:r>
    </w:p>
    <w:p>
      <w:pPr>
        <w:pStyle w:val="ListBullet"/>
        <w:ind w:left="360" w:hanging="360"/>
      </w:pPr>
      <w:r>
        <w:rPr>
          <w:rFonts w:ascii="Calibri" w:hAnsi="Calibri"/>
          <w:b/>
          <w:color w:val="525866"/>
          <w:sz w:val="22"/>
        </w:rPr>
        <w:t xml:space="preserve">No rate cuts assumed for remainder of 2026; interest on customer balances remains a headwind. </w:t>
      </w:r>
      <w:r>
        <w:rPr>
          <w:rFonts w:ascii="Calibri" w:hAnsi="Calibri"/>
          <w:b/>
          <w:color w:val="525866"/>
          <w:sz w:val="22"/>
        </w:rPr>
        <w:t xml:space="preserve">FISV read-through: </w:t>
      </w:r>
      <w:r>
        <w:rPr>
          <w:rFonts w:ascii="Calibri" w:hAnsi="Calibri"/>
          <w:color w:val="525866"/>
          <w:sz w:val="22"/>
        </w:rPr>
        <w:t>Stable rate environment is consistent with FISV’s guidance assumptions.</w:t>
      </w:r>
    </w:p>
    <w:p>
      <w:pPr>
        <w:pStyle w:val="Heading3"/>
      </w:pPr>
      <w:r>
        <w:rPr>
          <w:rFonts w:ascii="Calibri" w:hAnsi="Calibri"/>
          <w:b/>
          <w:color w:val="3B4259"/>
          <w:sz w:val="24"/>
        </w:rPr>
        <w:t>WEX — Q2 2026 Earnings (July 23, 2026) | Neutral / Idiosyncratic</w:t>
      </w:r>
    </w:p>
    <w:p>
      <w:r>
        <w:rPr>
          <w:rFonts w:ascii="Calibri" w:hAnsi="Calibri"/>
          <w:b/>
          <w:color w:val="525866"/>
          <w:sz w:val="22"/>
        </w:rPr>
        <w:t xml:space="preserve">Relevance: </w:t>
      </w:r>
      <w:r>
        <w:rPr>
          <w:rFonts w:ascii="Calibri" w:hAnsi="Calibri"/>
          <w:color w:val="525866"/>
          <w:sz w:val="22"/>
        </w:rPr>
        <w:t>WEX’s fleet/corporate payments commentary provides limited direct read-through for FISV, but its macro commentary on fuel prices and SMB fleet spending is relevant to Clover’s small business base.</w:t>
      </w:r>
    </w:p>
    <w:p>
      <w:pPr>
        <w:pStyle w:val="ListBullet"/>
        <w:ind w:left="360" w:hanging="360"/>
      </w:pPr>
      <w:r>
        <w:rPr>
          <w:rFonts w:ascii="Calibri" w:hAnsi="Calibri"/>
          <w:b/>
          <w:color w:val="525866"/>
          <w:sz w:val="22"/>
        </w:rPr>
        <w:t xml:space="preserve">Revenue +14.2% YoY to $753.5M; ex-fuel/FX, +4.2%. Adjusted EPS +35.4% (fuel price tailwind). Exceeded high end of guidance. </w:t>
      </w:r>
      <w:r>
        <w:rPr>
          <w:rFonts w:ascii="Calibri" w:hAnsi="Calibri"/>
          <w:b/>
          <w:color w:val="525866"/>
          <w:sz w:val="22"/>
        </w:rPr>
        <w:t xml:space="preserve">FISV read-through: </w:t>
      </w:r>
      <w:r>
        <w:rPr>
          <w:rFonts w:ascii="Calibri" w:hAnsi="Calibri"/>
          <w:color w:val="525866"/>
          <w:sz w:val="22"/>
        </w:rPr>
        <w:t>Limited direct read-through; WEX’s fuel card business is idiosyncratic. Higher fuel prices noted as a factor in consumer spending mix (AXP also noted gas spend increasing).</w:t>
      </w:r>
    </w:p>
    <w:p>
      <w:pPr>
        <w:pStyle w:val="ListBullet"/>
        <w:ind w:left="360" w:hanging="360"/>
      </w:pPr>
      <w:r>
        <w:rPr>
          <w:rFonts w:ascii="Calibri" w:hAnsi="Calibri"/>
          <w:b/>
          <w:color w:val="525866"/>
          <w:sz w:val="22"/>
        </w:rPr>
        <w:t xml:space="preserve">Direct AP volume growth accelerated to 20%; HSA accounts +7%; custodial cash assets +11.1%. </w:t>
      </w:r>
      <w:r>
        <w:rPr>
          <w:rFonts w:ascii="Calibri" w:hAnsi="Calibri"/>
          <w:b/>
          <w:color w:val="525866"/>
          <w:sz w:val="22"/>
        </w:rPr>
        <w:t xml:space="preserve">FISV read-through: </w:t>
      </w:r>
      <w:r>
        <w:rPr>
          <w:rFonts w:ascii="Calibri" w:hAnsi="Calibri"/>
          <w:color w:val="525866"/>
          <w:sz w:val="22"/>
        </w:rPr>
        <w:t>Embedded payments and B2B payment flows are accelerating — consistent with FISV’s embedded finance strategy and Commercehub B2B marketplace growth.</w:t>
      </w:r>
    </w:p>
    <w:p>
      <w:pPr>
        <w:pStyle w:val="ListBullet"/>
        <w:ind w:left="360" w:hanging="360"/>
      </w:pPr>
      <w:r>
        <w:rPr>
          <w:rFonts w:ascii="Calibri" w:hAnsi="Calibri"/>
          <w:b/>
          <w:color w:val="525866"/>
          <w:sz w:val="22"/>
        </w:rPr>
        <w:t xml:space="preserve">Macro: trucking demand side still constrained; WEX assumes current macro state continues through year-end. No rate changes assumed. </w:t>
      </w:r>
      <w:r>
        <w:rPr>
          <w:rFonts w:ascii="Calibri" w:hAnsi="Calibri"/>
          <w:b/>
          <w:color w:val="525866"/>
          <w:sz w:val="22"/>
        </w:rPr>
        <w:t xml:space="preserve">FISV read-through: </w:t>
      </w:r>
      <w:r>
        <w:rPr>
          <w:rFonts w:ascii="Calibri" w:hAnsi="Calibri"/>
          <w:color w:val="525866"/>
          <w:sz w:val="22"/>
        </w:rPr>
        <w:t>Stable macro assumption is consistent with FISV’s guidance framework.</w:t>
      </w:r>
    </w:p>
    <w:p>
      <w:pPr>
        <w:pStyle w:val="Heading3"/>
      </w:pPr>
      <w:r>
        <w:rPr>
          <w:rFonts w:ascii="Calibri" w:hAnsi="Calibri"/>
          <w:b/>
          <w:color w:val="3B4259"/>
          <w:sz w:val="24"/>
        </w:rPr>
        <w:t>Jack Henry &amp; Associates (JKHY) — RBC FinTech Conference (June 9, 2026) | Positive Read-Through for Banking Demand; Competitive Watch</w:t>
      </w:r>
    </w:p>
    <w:p>
      <w:r>
        <w:rPr>
          <w:rFonts w:ascii="Calibri" w:hAnsi="Calibri"/>
          <w:b/>
          <w:color w:val="525866"/>
          <w:sz w:val="22"/>
        </w:rPr>
        <w:t xml:space="preserve">Relevance: </w:t>
      </w:r>
      <w:r>
        <w:rPr>
          <w:rFonts w:ascii="Calibri" w:hAnsi="Calibri"/>
          <w:color w:val="525866"/>
          <w:sz w:val="22"/>
        </w:rPr>
        <w:t>JKHY is FISV’s most direct competitor in community/regional bank core banking. JKHY’s commentary on banking demand, core RFP activity, and competitive dynamics is a direct read-through for FISV’s Financial Solutions segment.</w:t>
      </w:r>
    </w:p>
    <w:p>
      <w:pPr>
        <w:pStyle w:val="ListBullet"/>
        <w:ind w:left="360" w:hanging="360"/>
      </w:pPr>
      <w:r>
        <w:rPr>
          <w:rFonts w:ascii="Calibri" w:hAnsi="Calibri"/>
          <w:b/>
          <w:color w:val="525866"/>
          <w:sz w:val="22"/>
        </w:rPr>
        <w:t xml:space="preserve">Banking spend growth expected 6–10% in calendar 2026 (up from 3–5% two years ago). Banks prioritizing deposit growth, lending, AI efficiency, and payment strategies. </w:t>
      </w:r>
      <w:r>
        <w:rPr>
          <w:rFonts w:ascii="Calibri" w:hAnsi="Calibri"/>
          <w:b/>
          <w:color w:val="525866"/>
          <w:sz w:val="22"/>
        </w:rPr>
        <w:t xml:space="preserve">FISV read-through: </w:t>
      </w:r>
      <w:r>
        <w:rPr>
          <w:rFonts w:ascii="Calibri" w:hAnsi="Calibri"/>
          <w:color w:val="525866"/>
          <w:sz w:val="22"/>
        </w:rPr>
        <w:t>Banking technology demand is accelerating — positive for FISV’s Financial Solutions pipeline, though FISV is lapping non-recurring headwinds that mask underlying demand.</w:t>
      </w:r>
    </w:p>
    <w:p>
      <w:pPr>
        <w:pStyle w:val="ListBullet"/>
        <w:ind w:left="360" w:hanging="360"/>
      </w:pPr>
      <w:r>
        <w:rPr>
          <w:rFonts w:ascii="Calibri" w:hAnsi="Calibri"/>
          <w:b/>
          <w:color w:val="525866"/>
          <w:sz w:val="22"/>
        </w:rPr>
        <w:t xml:space="preserve">JKHY expects ~250 core RFPs in 2026 (vs. ~200 typical), citing ‘unrest with competition’ and competitors ‘walking back consolidation comments.’ JKHY expects to win &gt;55 deals (vs. ~50 typical). Highest pipeline in recent years. </w:t>
      </w:r>
      <w:r>
        <w:rPr>
          <w:rFonts w:ascii="Calibri" w:hAnsi="Calibri"/>
          <w:b/>
          <w:color w:val="525866"/>
          <w:sz w:val="22"/>
        </w:rPr>
        <w:t xml:space="preserve">FISV read-through: </w:t>
      </w:r>
      <w:r>
        <w:rPr>
          <w:rFonts w:ascii="Calibri" w:hAnsi="Calibri"/>
          <w:color w:val="525866"/>
          <w:sz w:val="22"/>
        </w:rPr>
        <w:t>JKHY is explicitly benefiting from competitive disruption — this is a direct reference to FISV’s elevated core banking attrition (~150 bps vs. 75 bps historical). FISV’s service issues and forced-conversion concerns have opened the market for JKHY.</w:t>
      </w:r>
    </w:p>
    <w:p>
      <w:pPr>
        <w:pStyle w:val="ListBullet"/>
        <w:ind w:left="360" w:hanging="360"/>
      </w:pPr>
      <w:r>
        <w:rPr>
          <w:rFonts w:ascii="Calibri" w:hAnsi="Calibri"/>
          <w:b/>
          <w:color w:val="525866"/>
          <w:sz w:val="22"/>
        </w:rPr>
        <w:t xml:space="preserve">JKHY won its largest single new core in company history: a $9.2B institution with 1.5M accounts, migrating from a competitor’s ‘state-of-the-art platforms.’ 60% of 2026 core wins are trifecta wins (core + digital + card). </w:t>
      </w:r>
      <w:r>
        <w:rPr>
          <w:rFonts w:ascii="Calibri" w:hAnsi="Calibri"/>
          <w:b/>
          <w:color w:val="525866"/>
          <w:sz w:val="22"/>
        </w:rPr>
        <w:t xml:space="preserve">FISV read-through: </w:t>
      </w:r>
      <w:r>
        <w:rPr>
          <w:rFonts w:ascii="Calibri" w:hAnsi="Calibri"/>
          <w:color w:val="525866"/>
          <w:sz w:val="22"/>
        </w:rPr>
        <w:t>Competitive pressure on FISV’s core banking franchise is real and ongoing. Management’s ‘no forced migrations’ commitment and service improvement metrics (incidents -60%, resolution time -27%) are the right response, but attrition normalization to 75 bps by 2029 is a multi-year journey.</w:t>
      </w:r>
    </w:p>
    <w:p>
      <w:pPr>
        <w:pStyle w:val="ListBullet"/>
        <w:ind w:left="360" w:hanging="360"/>
      </w:pPr>
      <w:r>
        <w:rPr>
          <w:rFonts w:ascii="Calibri" w:hAnsi="Calibri"/>
          <w:b/>
          <w:color w:val="525866"/>
          <w:sz w:val="22"/>
        </w:rPr>
        <w:t xml:space="preserve">JKHY’s Tap2Local merchant acquiring (launched Nov 2025) already has 900 live customers; targeting sole proprietors (80% of small businesses). Plans 8 settlement windows/day by 2027. </w:t>
      </w:r>
      <w:r>
        <w:rPr>
          <w:rFonts w:ascii="Calibri" w:hAnsi="Calibri"/>
          <w:b/>
          <w:color w:val="525866"/>
          <w:sz w:val="22"/>
        </w:rPr>
        <w:t xml:space="preserve">FISV read-through: </w:t>
      </w:r>
      <w:r>
        <w:rPr>
          <w:rFonts w:ascii="Calibri" w:hAnsi="Calibri"/>
          <w:color w:val="525866"/>
          <w:sz w:val="22"/>
        </w:rPr>
        <w:t>JKHY is entering Clover’s SMB merchant acquiring territory via bank channel — a nascent but watch-worthy competitive dynamic for Clover’s bank referral partner strategy.</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 </w:t>
      </w:r>
      <w:r>
        <w:rPr>
          <w:rFonts w:ascii="Calibri" w:hAnsi="Calibri"/>
          <w:b/>
          <w:color w:val="525866"/>
          <w:sz w:val="22"/>
        </w:rPr>
        <w:t>notable cluster of open-market purchases by multiple insiders on June 16, 2026</w:t>
      </w:r>
      <w:r>
        <w:rPr>
          <w:rFonts w:ascii="Calibri" w:hAnsi="Calibri"/>
          <w:color w:val="525866"/>
          <w:sz w:val="22"/>
        </w:rPr>
        <w:t xml:space="preserve"> — the day after the CEO resignation was announced — is a meaningful positive signal. The CFO, Chief Admin &amp; Legal Officer, and three independent directors all bought stock at prices in the $47–50 range, suggesting insiders viewed the post-resignation selloff as an overreaction.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Todd, Paul M.</w:t>
            </w:r>
          </w:p>
        </w:tc>
        <w:tc>
          <w:tcPr>
            <w:tcW w:type="dxa" w:w="1440"/>
          </w:tcPr>
          <w:p>
            <w:r>
              <w:rPr>
                <w:rFonts w:ascii="Calibri" w:hAnsi="Calibri"/>
                <w:sz w:val="22"/>
              </w:rPr>
              <w:t>Chief Financial Officer</w:t>
            </w:r>
          </w:p>
        </w:tc>
        <w:tc>
          <w:tcPr>
            <w:tcW w:type="dxa" w:w="1440"/>
          </w:tcPr>
          <w:p>
            <w:r>
              <w:rPr>
                <w:rFonts w:ascii="Calibri" w:hAnsi="Calibri"/>
                <w:b/>
                <w:color w:val="30A46C"/>
                <w:sz w:val="22"/>
              </w:rPr>
              <w:t>Open Market Buy</w:t>
            </w:r>
          </w:p>
        </w:tc>
        <w:tc>
          <w:tcPr>
            <w:tcW w:type="dxa" w:w="1440"/>
          </w:tcPr>
          <w:p>
            <w:r>
              <w:rPr>
                <w:rFonts w:ascii="Calibri" w:hAnsi="Calibri"/>
                <w:sz w:val="22"/>
              </w:rPr>
              <w:t>10,060 shares</w:t>
            </w:r>
          </w:p>
        </w:tc>
        <w:tc>
          <w:tcPr>
            <w:tcW w:type="dxa" w:w="1440"/>
          </w:tcPr>
          <w:p>
            <w:r>
              <w:rPr>
                <w:rFonts w:ascii="Calibri" w:hAnsi="Calibri"/>
                <w:sz w:val="22"/>
              </w:rPr>
              <w:t>Jun 17, 2026</w:t>
            </w:r>
          </w:p>
        </w:tc>
        <w:tc>
          <w:tcPr>
            <w:tcW w:type="dxa" w:w="1440"/>
          </w:tcPr>
          <w:p>
            <w:r>
              <w:rPr>
                <w:rFonts w:ascii="Calibri" w:hAnsi="Calibri"/>
                <w:sz w:val="22"/>
              </w:rPr>
              <w:t>Discretionary purchase; filed Jun 18. CFO buying 2 days post-CEO resignation is a strong conviction signal. Holds 184,107 shares post-transaction.</w:t>
            </w:r>
          </w:p>
        </w:tc>
      </w:tr>
      <w:tr>
        <w:tc>
          <w:tcPr>
            <w:tcW w:type="dxa" w:w="1440"/>
          </w:tcPr>
          <w:p>
            <w:r>
              <w:rPr>
                <w:rFonts w:ascii="Calibri" w:hAnsi="Calibri"/>
                <w:sz w:val="22"/>
              </w:rPr>
              <w:t>Rosman, Adam L.</w:t>
            </w:r>
          </w:p>
        </w:tc>
        <w:tc>
          <w:tcPr>
            <w:tcW w:type="dxa" w:w="1440"/>
          </w:tcPr>
          <w:p>
            <w:r>
              <w:rPr>
                <w:rFonts w:ascii="Calibri" w:hAnsi="Calibri"/>
                <w:sz w:val="22"/>
              </w:rPr>
              <w:t>Chief Admin. &amp; Legal Officer</w:t>
            </w:r>
          </w:p>
        </w:tc>
        <w:tc>
          <w:tcPr>
            <w:tcW w:type="dxa" w:w="1440"/>
          </w:tcPr>
          <w:p>
            <w:r>
              <w:rPr>
                <w:rFonts w:ascii="Calibri" w:hAnsi="Calibri"/>
                <w:b/>
                <w:color w:val="30A46C"/>
                <w:sz w:val="22"/>
              </w:rPr>
              <w:t>Open Market Buy</w:t>
            </w:r>
          </w:p>
        </w:tc>
        <w:tc>
          <w:tcPr>
            <w:tcW w:type="dxa" w:w="1440"/>
          </w:tcPr>
          <w:p>
            <w:r>
              <w:rPr>
                <w:rFonts w:ascii="Calibri" w:hAnsi="Calibri"/>
                <w:sz w:val="22"/>
              </w:rPr>
              <w:t>10,150 shares</w:t>
            </w:r>
          </w:p>
        </w:tc>
        <w:tc>
          <w:tcPr>
            <w:tcW w:type="dxa" w:w="1440"/>
          </w:tcPr>
          <w:p>
            <w:r>
              <w:rPr>
                <w:rFonts w:ascii="Calibri" w:hAnsi="Calibri"/>
                <w:sz w:val="22"/>
              </w:rPr>
              <w:t>Jun 16, 2026</w:t>
            </w:r>
          </w:p>
        </w:tc>
        <w:tc>
          <w:tcPr>
            <w:tcW w:type="dxa" w:w="1440"/>
          </w:tcPr>
          <w:p>
            <w:r>
              <w:rPr>
                <w:rFonts w:ascii="Calibri" w:hAnsi="Calibri"/>
                <w:sz w:val="22"/>
              </w:rPr>
              <w:t>Discretionary purchase; day of CEO resignation announcement. Holds 136,724 shares post-transaction.</w:t>
            </w:r>
          </w:p>
        </w:tc>
      </w:tr>
      <w:tr>
        <w:tc>
          <w:tcPr>
            <w:tcW w:type="dxa" w:w="1440"/>
          </w:tcPr>
          <w:p>
            <w:r>
              <w:rPr>
                <w:rFonts w:ascii="Calibri" w:hAnsi="Calibri"/>
                <w:sz w:val="22"/>
              </w:rPr>
              <w:t>Nixon, Gordon M.</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7,500 shares</w:t>
            </w:r>
          </w:p>
        </w:tc>
        <w:tc>
          <w:tcPr>
            <w:tcW w:type="dxa" w:w="1440"/>
          </w:tcPr>
          <w:p>
            <w:r>
              <w:rPr>
                <w:rFonts w:ascii="Calibri" w:hAnsi="Calibri"/>
                <w:sz w:val="22"/>
              </w:rPr>
              <w:t>Jun 16, 2026</w:t>
            </w:r>
          </w:p>
        </w:tc>
        <w:tc>
          <w:tcPr>
            <w:tcW w:type="dxa" w:w="1440"/>
          </w:tcPr>
          <w:p>
            <w:r>
              <w:rPr>
                <w:rFonts w:ascii="Calibri" w:hAnsi="Calibri"/>
                <w:sz w:val="22"/>
              </w:rPr>
              <w:t>Discretionary purchase; same day as CEO resignation. Holds 17,656 shares post-transaction.</w:t>
            </w:r>
          </w:p>
        </w:tc>
      </w:tr>
      <w:tr>
        <w:tc>
          <w:tcPr>
            <w:tcW w:type="dxa" w:w="1440"/>
          </w:tcPr>
          <w:p>
            <w:r>
              <w:rPr>
                <w:rFonts w:ascii="Calibri" w:hAnsi="Calibri"/>
                <w:sz w:val="22"/>
              </w:rPr>
              <w:t>DiSimone, Harry</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2,088 shares</w:t>
            </w:r>
          </w:p>
        </w:tc>
        <w:tc>
          <w:tcPr>
            <w:tcW w:type="dxa" w:w="1440"/>
          </w:tcPr>
          <w:p>
            <w:r>
              <w:rPr>
                <w:rFonts w:ascii="Calibri" w:hAnsi="Calibri"/>
                <w:sz w:val="22"/>
              </w:rPr>
              <w:t>Jun 16, 2026</w:t>
            </w:r>
          </w:p>
        </w:tc>
        <w:tc>
          <w:tcPr>
            <w:tcW w:type="dxa" w:w="1440"/>
          </w:tcPr>
          <w:p>
            <w:r>
              <w:rPr>
                <w:rFonts w:ascii="Calibri" w:hAnsi="Calibri"/>
                <w:sz w:val="22"/>
              </w:rPr>
              <w:t>Discretionary purchase; same day as CEO resignation. Holds 23,607 shares post-transaction.</w:t>
            </w:r>
          </w:p>
        </w:tc>
      </w:tr>
      <w:tr>
        <w:tc>
          <w:tcPr>
            <w:tcW w:type="dxa" w:w="1440"/>
          </w:tcPr>
          <w:p>
            <w:r>
              <w:rPr>
                <w:rFonts w:ascii="Calibri" w:hAnsi="Calibri"/>
                <w:sz w:val="22"/>
              </w:rPr>
              <w:t>Yarkoni, Charlotte</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2,023 shares</w:t>
            </w:r>
          </w:p>
        </w:tc>
        <w:tc>
          <w:tcPr>
            <w:tcW w:type="dxa" w:w="1440"/>
          </w:tcPr>
          <w:p>
            <w:r>
              <w:rPr>
                <w:rFonts w:ascii="Calibri" w:hAnsi="Calibri"/>
                <w:sz w:val="22"/>
              </w:rPr>
              <w:t>Jun 16, 2026</w:t>
            </w:r>
          </w:p>
        </w:tc>
        <w:tc>
          <w:tcPr>
            <w:tcW w:type="dxa" w:w="1440"/>
          </w:tcPr>
          <w:p>
            <w:r>
              <w:rPr>
                <w:rFonts w:ascii="Calibri" w:hAnsi="Calibri"/>
                <w:sz w:val="22"/>
              </w:rPr>
              <w:t>Discretionary purchase; same day as CEO resignation. Holds 10,146 shares post-transaction.</w:t>
            </w:r>
          </w:p>
        </w:tc>
      </w:tr>
    </w:tbl>
    <w:p>
      <w:r>
        <w:rPr>
          <w:rFonts w:ascii="Calibri" w:hAnsi="Calibri"/>
          <w:b/>
          <w:color w:val="525866"/>
          <w:sz w:val="22"/>
        </w:rPr>
        <w:t xml:space="preserve">Source: </w:t>
      </w:r>
      <w:r>
        <w:rPr>
          <w:rFonts w:ascii="Calibri" w:hAnsi="Calibri"/>
          <w:color w:val="525866"/>
          <w:sz w:val="22"/>
        </w:rPr>
        <w:t>SEC Form 4 filings (Insider Transaction Data). All transactions are open-market purchases (transaction code P = Acquisition). No 10b5-1 plans flagged on any of these transactions. No insider sales were filed in the period since Q1 2026 earnings (May 5, 2026 through August 5, 2026).</w:t>
      </w:r>
    </w:p>
    <w:p>
      <w:r>
        <w:rPr>
          <w:rFonts w:ascii="Calibri" w:hAnsi="Calibri"/>
          <w:b/>
          <w:color w:val="525866"/>
          <w:sz w:val="22"/>
        </w:rPr>
        <w:t xml:space="preserve">Analysis: </w:t>
      </w:r>
      <w:r>
        <w:rPr>
          <w:rFonts w:ascii="Calibri" w:hAnsi="Calibri"/>
          <w:color w:val="525866"/>
          <w:sz w:val="22"/>
        </w:rPr>
        <w:t xml:space="preserve">Five insiders — including the CFO and Chief Legal Officer — made coordinated open-market purchases on June 16–17, 2026, immediately following the CEO resignation announcement. The stock was trading in the $47–50 range at the time (vs. $54–57 pre-announcement). This is a </w:t>
      </w:r>
      <w:r>
        <w:rPr>
          <w:rFonts w:ascii="Calibri" w:hAnsi="Calibri"/>
          <w:b/>
          <w:color w:val="525866"/>
          <w:sz w:val="22"/>
        </w:rPr>
        <w:t>bullish insider signal</w:t>
      </w:r>
      <w:r>
        <w:rPr>
          <w:rFonts w:ascii="Calibri" w:hAnsi="Calibri"/>
          <w:color w:val="525866"/>
          <w:sz w:val="22"/>
        </w:rPr>
        <w:t>: insiders with full knowledge of the company’s operational trajectory chose to buy at the post-shock lows, suggesting they view the selloff as an overreaction to the leadership change rather than a reflection of deteriorating fundamentals. No insider sales have been filed since Q1 earnings, which is also notable given the stock’s underperformance.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