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ox-earnings-predictions--2026-08-06"/>
    <w:p>
      <w:pPr>
        <w:pStyle w:val="Heading1"/>
      </w:pPr>
      <w:r>
        <w:t xml:space="preserve">FOX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1.25 (blended Street estimate, Q4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3.78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3.62B (Q4 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Fox One subscribers (post-World Cup)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~5.5M cumulative subs vs. buy-side/Street implied ~4.5M subs (as of June 30,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TV distribution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~+2-3% growth vs. cons ~flat/0% (fiscal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Political advertising market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t>a</m:t>
              </m:r>
              <m:r>
                <m:t>d</m:t>
              </m:r>
              <m:r>
                <m:t>m</m:t>
              </m:r>
              <m:r>
                <m:t>a</m:t>
              </m:r>
              <m:r>
                <m:t>r</m:t>
              </m:r>
              <m:r>
                <m:t>k</m:t>
              </m:r>
              <m:r>
                <m:t>e</m:t>
              </m:r>
              <m:r>
                <m:t>t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/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9B off-year estimate (fiscal H1 2027 / calendar Q4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Roku deal cost synergies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400</m:t>
              </m:r>
              <m:r>
                <m:t>M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y</m:t>
              </m:r>
              <m:r>
                <m:t>n</m:t>
              </m:r>
              <m:r>
                <m:t>e</m:t>
              </m:r>
              <m:r>
                <m:t>r</m:t>
              </m:r>
              <m:r>
                <m:t>g</m:t>
              </m:r>
              <m:r>
                <m:t>i</m:t>
              </m:r>
              <m:r>
                <m:t>e</m:t>
              </m:r>
              <m:r>
                <m:t>s</m:t>
              </m:r>
              <m:r>
                <m:t>r</m:t>
              </m:r>
              <m:r>
                <m:t>e</m:t>
              </m:r>
              <m:r>
                <m:t>i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400M as announced June 15 (by year 2 post-close, ~2028-2029)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NFL rights renegotiation timeline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~no specific new timeline disclosed vs. cons/press expectation of talks starting before 2026 season end (fiscal 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Fox One churn/retention post-World Cup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~&lt;8% monthly churn (better than expected) vs. cons ~12-15% typical post-event churn assumption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likely beat-and-raise quarter (EPS/revenue/Fox One subs ahead of depressed, recently-cut consensus, plus constructive political-ad and TV-distribution FY27 commentary) should spark an initial pop off a low bar (negative Earnings ESP into the print), but the World Cup benefit is a timing-driven, non-repeating tailwind that analysts will largely treat as one-off rather than raise durable out-period (FY27) estimates on, while the Roku deal overhang (dilution, $12B bridge financing, ~2.8x leverage, H1 2027 close, antitrust/S-4 timeline) reasserts itself as the dominant multi-day narrative once the initial print-driven excitement fades, especially after the stock's ~20% run-up off June lows into the print leaves little room for follow-through absent fresh deal clarity.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2026-08-06T00:17:20Z</dcterms:created>
  <dcterms:modified xsi:type="dcterms:W3CDTF">2026-08-06T00:17:20Z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