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fox-fiscal-q4-2026-earnings-preview"/>
    <w:p>
      <w:pPr>
        <w:pStyle w:val="Heading1"/>
      </w:pPr>
      <w:r>
        <w:t xml:space="preserve">FOX Fiscal Q4 2026 Earnings Preview</w:t>
      </w:r>
    </w:p>
    <w:p>
      <w:pPr>
        <w:pStyle w:val="BlockText"/>
      </w:pPr>
      <w:r>
        <w:rPr>
          <w:b/>
          <w:bCs/>
        </w:rPr>
        <w:t xml:space="preserve">Timing note:</w:t>
      </w:r>
      <w:r>
        <w:t xml:space="preserve"> </w:t>
      </w:r>
      <w:r>
        <w:t xml:space="preserve">FOX is reporting</w:t>
      </w:r>
      <w:r>
        <w:t xml:space="preserve"> </w:t>
      </w:r>
      <w:r>
        <w:rPr>
          <w:b/>
          <w:bCs/>
        </w:rPr>
        <w:t xml:space="preserve">today, August 6, 2026—not tomorrow</w:t>
      </w:r>
      <w:r>
        <w:t xml:space="preserve">. The company expects to release results at approximately</w:t>
      </w:r>
      <w:r>
        <w:t xml:space="preserve"> </w:t>
      </w:r>
      <w:r>
        <w:rPr>
          <w:b/>
          <w:bCs/>
        </w:rPr>
        <w:t xml:space="preserve">8:00 a.m. ET</w:t>
      </w:r>
      <w:r>
        <w:t xml:space="preserve">, followed by its earnings call at</w:t>
      </w:r>
      <w:r>
        <w:t xml:space="preserve"> </w:t>
      </w:r>
      <w:r>
        <w:rPr>
          <w:b/>
          <w:bCs/>
        </w:rPr>
        <w:t xml:space="preserve">8:30 a.m. ET</w:t>
      </w:r>
      <w:r>
        <w:t xml:space="preserve">. (</w:t>
      </w:r>
      <w:hyperlink r:id="rId9">
        <w:r>
          <w:rPr>
            <w:rStyle w:val="Hyperlink"/>
          </w:rPr>
          <w:t xml:space="preserve">investor.foxcorporation.com</w:t>
        </w:r>
      </w:hyperlink>
      <w:r>
        <w:t xml:space="preserve">)</w:t>
      </w:r>
    </w:p>
    <w:bookmarkStart w:id="10" w:name="executive-view"/>
    <w:p>
      <w:pPr>
        <w:pStyle w:val="Heading2"/>
      </w:pPr>
      <w:r>
        <w:t xml:space="preserve">Executive view</w:t>
      </w:r>
    </w:p>
    <w:p>
      <w:pPr>
        <w:pStyle w:val="FirstParagraph"/>
      </w:pPr>
      <w:r>
        <w:t xml:space="preserve">This report is effectively</w:t>
      </w:r>
      <w:r>
        <w:t xml:space="preserve"> </w:t>
      </w:r>
      <w:r>
        <w:rPr>
          <w:b/>
          <w:bCs/>
        </w:rPr>
        <w:t xml:space="preserve">two events in one</w:t>
      </w:r>
      <w:r>
        <w:t xml:space="preserve">:</w:t>
      </w:r>
    </w:p>
    <w:p>
      <w:pPr>
        <w:pStyle w:val="Compact"/>
        <w:numPr>
          <w:ilvl w:val="0"/>
          <w:numId w:val="1001"/>
        </w:numPr>
      </w:pPr>
      <w:r>
        <w:t xml:space="preserve">A review of FOX’s core operating momentum, including the first portion of the FIFA World Cup, continued growth at Tubi, and the early performance of FOX One.</w:t>
      </w:r>
    </w:p>
    <w:p>
      <w:pPr>
        <w:pStyle w:val="Compact"/>
        <w:numPr>
          <w:ilvl w:val="0"/>
          <w:numId w:val="1001"/>
        </w:numPr>
      </w:pPr>
      <w:r>
        <w:t xml:space="preserve">The first regular earnings call since FOX announced its proposed</w:t>
      </w:r>
      <w:r>
        <w:t xml:space="preserve"> </w:t>
      </w:r>
      <w:r>
        <w:rPr>
          <w:b/>
          <w:bCs/>
        </w:rPr>
        <w:t xml:space="preserve">$22 billion acquisition of Roku</w:t>
      </w:r>
      <w:r>
        <w:t xml:space="preserve">.</w:t>
      </w:r>
    </w:p>
    <w:p>
      <w:pPr>
        <w:pStyle w:val="FirstParagraph"/>
      </w:pPr>
      <w:r>
        <w:t xml:space="preserve">The operating setup appears constructive. Advertising trends were strong entering the quarter, distribution revenue was holding up better than many traditional-media peers, and management expected the World Cup to be EBITDA-accretive. But the stock’s reaction will likely depend at least as much on management’s defense of the Roku transaction—particularly financing, deleveraging and capital returns—as on whether EPS beats consensus.</w:t>
      </w:r>
    </w:p>
    <w:bookmarkEnd w:id="10"/>
    <w:bookmarkStart w:id="13" w:name="expectations-and-relevant-comparisons"/>
    <w:p>
      <w:pPr>
        <w:pStyle w:val="Heading2"/>
      </w:pPr>
      <w:r>
        <w:t xml:space="preserve">Expectations and relevant comparisons</w:t>
      </w:r>
    </w:p>
    <w:p>
      <w:pPr>
        <w:pStyle w:val="FirstParagraph"/>
      </w:pPr>
      <w:r>
        <w:t xml:space="preserve">Public consensus providers differ somewhat, but estimates generally cluster around the following:</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Public estimate range</w:t>
            </w:r>
          </w:p>
        </w:tc>
        <w:tc>
          <w:tcPr/>
          <w:p>
            <w:pPr>
              <w:pStyle w:val="Compact"/>
              <w:jc w:val="right"/>
            </w:pPr>
            <w:r>
              <w:t xml:space="preserve">Q4 FY2025 actual</w:t>
            </w:r>
          </w:p>
        </w:tc>
        <w:tc>
          <w:tcPr/>
          <w:p>
            <w:pPr>
              <w:pStyle w:val="Compact"/>
              <w:jc w:val="right"/>
            </w:pPr>
            <w:r>
              <w:t xml:space="preserve">Implied growth</w:t>
            </w:r>
          </w:p>
        </w:tc>
      </w:tr>
      <w:tr>
        <w:tc>
          <w:tcPr/>
          <w:p>
            <w:pPr>
              <w:pStyle w:val="Compact"/>
            </w:pPr>
            <w:r>
              <w:t xml:space="preserve">Revenue</w:t>
            </w:r>
          </w:p>
        </w:tc>
        <w:tc>
          <w:tcPr/>
          <w:p>
            <w:pPr>
              <w:pStyle w:val="Compact"/>
              <w:jc w:val="right"/>
            </w:pPr>
            <m:oMath>
              <m:r>
                <m:t>3.58</m:t>
              </m:r>
              <m:r>
                <m:t>B</m:t>
              </m:r>
              <m:r>
                <m:rPr>
                  <m:sty m:val="p"/>
                </m:rPr>
                <m:t>–</m:t>
              </m:r>
            </m:oMath>
            <w:r>
              <w:rPr>
                <w:b/>
                <w:bCs/>
              </w:rPr>
              <w:t xml:space="preserve">3.63B</w:t>
            </w:r>
          </w:p>
        </w:tc>
        <w:tc>
          <w:tcPr/>
          <w:p>
            <w:pPr>
              <w:pStyle w:val="Compact"/>
              <w:jc w:val="right"/>
            </w:pPr>
            <w:r>
              <w:t xml:space="preserve">$3.29B</w:t>
            </w:r>
          </w:p>
        </w:tc>
        <w:tc>
          <w:tcPr/>
          <w:p>
            <w:pPr>
              <w:pStyle w:val="Compact"/>
              <w:jc w:val="right"/>
            </w:pPr>
            <w:r>
              <w:t xml:space="preserve">approximately</w:t>
            </w:r>
            <w:r>
              <w:t xml:space="preserve"> </w:t>
            </w:r>
            <w:r>
              <w:rPr>
                <w:b/>
                <w:bCs/>
              </w:rPr>
              <w:t xml:space="preserve">9%–10%</w:t>
            </w:r>
          </w:p>
        </w:tc>
      </w:tr>
      <w:tr>
        <w:tc>
          <w:tcPr/>
          <w:p>
            <w:pPr>
              <w:pStyle w:val="Compact"/>
            </w:pPr>
            <w:r>
              <w:t xml:space="preserve">Adjusted EPS</w:t>
            </w:r>
          </w:p>
        </w:tc>
        <w:tc>
          <w:tcPr/>
          <w:p>
            <w:pPr>
              <w:pStyle w:val="Compact"/>
              <w:jc w:val="right"/>
            </w:pPr>
            <m:oMath>
              <m:r>
                <m:t>1.34</m:t>
              </m:r>
              <m:r>
                <m:rPr>
                  <m:sty m:val="p"/>
                </m:rPr>
                <m:t>–</m:t>
              </m:r>
            </m:oMath>
            <w:r>
              <w:rPr>
                <w:b/>
                <w:bCs/>
              </w:rPr>
              <w:t xml:space="preserve">1.42</w:t>
            </w:r>
          </w:p>
        </w:tc>
        <w:tc>
          <w:tcPr/>
          <w:p>
            <w:pPr>
              <w:pStyle w:val="Compact"/>
              <w:jc w:val="right"/>
            </w:pPr>
            <w:r>
              <w:t xml:space="preserve">$1.27</w:t>
            </w:r>
          </w:p>
        </w:tc>
        <w:tc>
          <w:tcPr/>
          <w:p>
            <w:pPr>
              <w:pStyle w:val="Compact"/>
              <w:jc w:val="right"/>
            </w:pPr>
            <w:r>
              <w:t xml:space="preserve">approximately</w:t>
            </w:r>
            <w:r>
              <w:t xml:space="preserve"> </w:t>
            </w:r>
            <w:r>
              <w:rPr>
                <w:b/>
                <w:bCs/>
              </w:rPr>
              <w:t xml:space="preserve">6%–12%</w:t>
            </w:r>
          </w:p>
        </w:tc>
      </w:tr>
      <w:tr>
        <w:tc>
          <w:tcPr/>
          <w:p>
            <w:pPr>
              <w:pStyle w:val="Compact"/>
            </w:pPr>
            <w:r>
              <w:t xml:space="preserve">Adjusted EBITDA</w:t>
            </w:r>
          </w:p>
        </w:tc>
        <w:tc>
          <w:tcPr/>
          <w:p>
            <w:pPr>
              <w:pStyle w:val="Compact"/>
              <w:jc w:val="right"/>
            </w:pPr>
            <w:r>
              <w:t xml:space="preserve">No consistent public consensus</w:t>
            </w:r>
          </w:p>
        </w:tc>
        <w:tc>
          <w:tcPr/>
          <w:p>
            <w:pPr>
              <w:pStyle w:val="Compact"/>
              <w:jc w:val="right"/>
            </w:pPr>
            <w:r>
              <w:t xml:space="preserve">$939M</w:t>
            </w:r>
          </w:p>
        </w:tc>
        <w:tc>
          <w:tcPr/>
          <w:p>
            <w:pPr>
              <w:pStyle w:val="Compact"/>
              <w:jc w:val="right"/>
            </w:pPr>
            <w:r>
              <w:t xml:space="preserve">See record threshold below</w:t>
            </w:r>
          </w:p>
        </w:tc>
      </w:tr>
    </w:tbl>
    <w:p>
      <w:pPr>
        <w:pStyle w:val="BodyText"/>
      </w:pPr>
      <w:r>
        <w:t xml:space="preserve">Benzinga lists estimates of $3.58 billion and $1.34, while Investing.com shows $3.63 billion and $1.42. Investors should therefore avoid treating any single aggregator as the definitive consensus. (</w:t>
      </w:r>
      <w:hyperlink r:id="rId11">
        <w:r>
          <w:rPr>
            <w:rStyle w:val="Hyperlink"/>
          </w:rPr>
          <w:t xml:space="preserve">benzinga.com</w:t>
        </w:r>
      </w:hyperlink>
      <w:r>
        <w:t xml:space="preserve">)</w:t>
      </w:r>
    </w:p>
    <w:p>
      <w:pPr>
        <w:pStyle w:val="BodyText"/>
      </w:pPr>
      <w:r>
        <w:t xml:space="preserve">FOX generated $939 million of adjusted EBITDA in last year’s fourth quarter and $3.624 billion for fiscal 2025. Through the first nine months of fiscal 2026, adjusted EBITDA was</w:t>
      </w:r>
      <w:r>
        <w:t xml:space="preserve"> </w:t>
      </w:r>
      <m:oMath>
        <m:r>
          <m:t>2.711</m:t>
        </m:r>
        <m:r>
          <m:t>b</m:t>
        </m:r>
        <m:r>
          <m:t>i</m:t>
        </m:r>
        <m:r>
          <m:t>l</m:t>
        </m:r>
        <m:r>
          <m:t>l</m:t>
        </m:r>
        <m:r>
          <m:t>i</m:t>
        </m:r>
        <m:r>
          <m:t>o</m:t>
        </m:r>
        <m:r>
          <m:t>n</m:t>
        </m:r>
        <m:r>
          <m:rPr>
            <m:sty m:val="p"/>
          </m:rPr>
          <m:t>.</m:t>
        </m:r>
        <m:r>
          <m:t>M</m:t>
        </m:r>
        <m:r>
          <m:t>a</m:t>
        </m:r>
        <m:r>
          <m:t>n</m:t>
        </m:r>
        <m:r>
          <m:t>a</m:t>
        </m:r>
        <m:r>
          <m:t>g</m:t>
        </m:r>
        <m:r>
          <m:t>e</m:t>
        </m:r>
        <m:r>
          <m:t>m</m:t>
        </m:r>
        <m:r>
          <m:t>e</m:t>
        </m:r>
        <m:r>
          <m:t>n</m:t>
        </m:r>
        <m:r>
          <m:t>t</m:t>
        </m:r>
        <m:r>
          <m:t>s</m:t>
        </m:r>
        <m:r>
          <m:t>a</m:t>
        </m:r>
        <m:r>
          <m:t>i</m:t>
        </m:r>
        <m:r>
          <m:t>d</m:t>
        </m:r>
        <m:r>
          <m:t>i</m:t>
        </m:r>
        <m:r>
          <m:t>n</m:t>
        </m:r>
        <m:r>
          <m:t>M</m:t>
        </m:r>
        <m:r>
          <m:t>a</m:t>
        </m:r>
        <m:r>
          <m:t>y</m:t>
        </m:r>
        <m:r>
          <m:t>t</m:t>
        </m:r>
        <m:r>
          <m:t>h</m:t>
        </m:r>
        <m:r>
          <m:t>a</m:t>
        </m:r>
        <m:r>
          <m:t>t</m:t>
        </m:r>
        <m:r>
          <m:t>i</m:t>
        </m:r>
        <m:r>
          <m:t>t</m:t>
        </m:r>
        <m:r>
          <m:t>e</m:t>
        </m:r>
        <m:r>
          <m:t>x</m:t>
        </m:r>
        <m:r>
          <m:t>p</m:t>
        </m:r>
        <m:r>
          <m:t>e</m:t>
        </m:r>
        <m:r>
          <m:t>c</m:t>
        </m:r>
        <m:r>
          <m:t>t</m:t>
        </m:r>
        <m:r>
          <m:t>e</m:t>
        </m:r>
        <m:r>
          <m:t>d</m:t>
        </m:r>
        <m:r>
          <m:rPr>
            <m:sty m:val="p"/>
          </m:rPr>
          <m:t>*</m:t>
        </m:r>
        <m:r>
          <m:rPr>
            <m:sty m:val="p"/>
          </m:rPr>
          <m:t>*</m:t>
        </m:r>
        <m:r>
          <m:t>r</m:t>
        </m:r>
        <m:r>
          <m:t>e</m:t>
        </m:r>
        <m:r>
          <m:t>c</m:t>
        </m:r>
        <m:r>
          <m:t>o</m:t>
        </m:r>
        <m:r>
          <m:t>r</m:t>
        </m:r>
        <m:r>
          <m:t>d</m:t>
        </m:r>
        <m:r>
          <m:t>f</m:t>
        </m:r>
        <m:r>
          <m:t>u</m:t>
        </m:r>
        <m:r>
          <m:t>l</m:t>
        </m:r>
        <m:r>
          <m:t>l</m:t>
        </m:r>
        <m:r>
          <m:rPr>
            <m:sty m:val="p"/>
          </m:rPr>
          <m:t>−</m:t>
        </m:r>
        <m:r>
          <m:t>y</m:t>
        </m:r>
        <m:r>
          <m:t>e</m:t>
        </m:r>
        <m:r>
          <m:t>a</m:t>
        </m:r>
        <m:r>
          <m:t>r</m:t>
        </m:r>
        <m:r>
          <m:t>E</m:t>
        </m:r>
        <m:r>
          <m:t>B</m:t>
        </m:r>
        <m:r>
          <m:t>I</m:t>
        </m:r>
        <m:r>
          <m:t>T</m:t>
        </m:r>
        <m:r>
          <m:t>D</m:t>
        </m:r>
        <m:r>
          <m:t>A</m:t>
        </m:r>
        <m:r>
          <m:rPr>
            <m:sty m:val="p"/>
          </m:rPr>
          <m:t>*</m:t>
        </m:r>
        <m:r>
          <m:rPr>
            <m:sty m:val="p"/>
          </m:rPr>
          <m:t>*</m:t>
        </m:r>
        <m:r>
          <m:rPr>
            <m:sty m:val="p"/>
          </m:rPr>
          <m:t>,</m:t>
        </m:r>
        <m:r>
          <m:t>w</m:t>
        </m:r>
        <m:r>
          <m:t>h</m:t>
        </m:r>
        <m:r>
          <m:t>i</m:t>
        </m:r>
        <m:r>
          <m:t>c</m:t>
        </m:r>
        <m:r>
          <m:t>h</m:t>
        </m:r>
        <m:r>
          <m:t>m</m:t>
        </m:r>
        <m:r>
          <m:t>a</m:t>
        </m:r>
        <m:r>
          <m:t>t</m:t>
        </m:r>
        <m:r>
          <m:t>h</m:t>
        </m:r>
        <m:r>
          <m:t>e</m:t>
        </m:r>
        <m:r>
          <m:t>m</m:t>
        </m:r>
        <m:r>
          <m:t>a</m:t>
        </m:r>
        <m:r>
          <m:t>t</m:t>
        </m:r>
        <m:r>
          <m:t>i</m:t>
        </m:r>
        <m:r>
          <m:t>c</m:t>
        </m:r>
        <m:r>
          <m:t>a</m:t>
        </m:r>
        <m:r>
          <m:t>l</m:t>
        </m:r>
        <m:r>
          <m:t>l</m:t>
        </m:r>
        <m:r>
          <m:t>y</m:t>
        </m:r>
        <m:r>
          <m:t>r</m:t>
        </m:r>
        <m:r>
          <m:t>e</m:t>
        </m:r>
        <m:r>
          <m:t>q</m:t>
        </m:r>
        <m:r>
          <m:t>u</m:t>
        </m:r>
        <m:r>
          <m:t>i</m:t>
        </m:r>
        <m:r>
          <m:t>r</m:t>
        </m:r>
        <m:r>
          <m:t>e</m:t>
        </m:r>
        <m:r>
          <m:t>s</m:t>
        </m:r>
        <m:r>
          <m:t>a</m:t>
        </m:r>
        <m:r>
          <m:t>t</m:t>
        </m:r>
        <m:r>
          <m:t>l</m:t>
        </m:r>
        <m:r>
          <m:t>e</m:t>
        </m:r>
        <m:r>
          <m:t>a</m:t>
        </m:r>
        <m:r>
          <m:t>s</m:t>
        </m:r>
        <m:r>
          <m:t>t</m:t>
        </m:r>
        <m:r>
          <m:t>a</m:t>
        </m:r>
        <m:r>
          <m:t>p</m:t>
        </m:r>
        <m:r>
          <m:t>p</m:t>
        </m:r>
        <m:r>
          <m:t>r</m:t>
        </m:r>
        <m:r>
          <m:t>o</m:t>
        </m:r>
        <m:r>
          <m:t>x</m:t>
        </m:r>
        <m:r>
          <m:t>i</m:t>
        </m:r>
        <m:r>
          <m:t>m</m:t>
        </m:r>
        <m:r>
          <m:t>a</m:t>
        </m:r>
        <m:r>
          <m:t>t</m:t>
        </m:r>
        <m:r>
          <m:t>e</m:t>
        </m:r>
        <m:r>
          <m:t>l</m:t>
        </m:r>
        <m:r>
          <m:t>y</m:t>
        </m:r>
        <m:r>
          <m:rPr>
            <m:sty m:val="p"/>
          </m:rPr>
          <m:t>*</m:t>
        </m:r>
        <m:r>
          <m:rPr>
            <m:sty m:val="p"/>
          </m:rPr>
          <m:t>*</m:t>
        </m:r>
      </m:oMath>
      <w:r>
        <w:t xml:space="preserve">914 million in Q4**. A result materially above that threshold would validate management’s confidence; a result below it would be an obvious disappointment. (</w:t>
      </w:r>
      <w:hyperlink r:id="rId12">
        <w:r>
          <w:rPr>
            <w:rStyle w:val="Hyperlink"/>
          </w:rPr>
          <w:t xml:space="preserve">media.foxcorporation.com</w:t>
        </w:r>
      </w:hyperlink>
      <w:r>
        <w:t xml:space="preserve">)</w:t>
      </w:r>
    </w:p>
    <w:bookmarkEnd w:id="13"/>
    <w:bookmarkStart w:id="19" w:name="what-to-watch"/>
    <w:p>
      <w:pPr>
        <w:pStyle w:val="Heading2"/>
      </w:pPr>
      <w:r>
        <w:t xml:space="preserve">What to watch</w:t>
      </w:r>
    </w:p>
    <w:bookmarkStart w:id="15" w:name="X8e59208055d91d88cf95209b651ea157f22a422"/>
    <w:p>
      <w:pPr>
        <w:pStyle w:val="Heading3"/>
      </w:pPr>
      <w:r>
        <w:t xml:space="preserve">1. FIFA World Cup economics</w:t>
      </w:r>
    </w:p>
    <w:p>
      <w:pPr>
        <w:pStyle w:val="FirstParagraph"/>
      </w:pPr>
      <w:r>
        <w:t xml:space="preserve">The World Cup should be the largest discrete swing factor in the quarter, but investors need to remember that FOX’s fiscal year ended June 30 while the tournament continued into July. Management previously said the financial contribution would be split approximately</w:t>
      </w:r>
      <w:r>
        <w:t xml:space="preserve"> </w:t>
      </w:r>
      <w:r>
        <w:rPr>
          <w:b/>
          <w:bCs/>
        </w:rPr>
        <w:t xml:space="preserve">50/50 between fiscal Q4 2026 and fiscal Q1 2027</w:t>
      </w:r>
      <w:r>
        <w:t xml:space="preserve">.</w:t>
      </w:r>
    </w:p>
    <w:p>
      <w:pPr>
        <w:pStyle w:val="BodyText"/>
      </w:pPr>
      <w:r>
        <w:t xml:space="preserve">FOX also indicated that:</w:t>
      </w:r>
    </w:p>
    <w:p>
      <w:pPr>
        <w:pStyle w:val="Compact"/>
        <w:numPr>
          <w:ilvl w:val="0"/>
          <w:numId w:val="1002"/>
        </w:numPr>
      </w:pPr>
      <w:r>
        <w:t xml:space="preserve">Revenue would be weighted toward the Television/broadcast segment.</w:t>
      </w:r>
    </w:p>
    <w:p>
      <w:pPr>
        <w:pStyle w:val="Compact"/>
        <w:numPr>
          <w:ilvl w:val="0"/>
          <w:numId w:val="1002"/>
        </w:numPr>
      </w:pPr>
      <w:r>
        <w:t xml:space="preserve">The tournament should be EBITDA-accretive at the company level.</w:t>
      </w:r>
    </w:p>
    <w:p>
      <w:pPr>
        <w:pStyle w:val="Compact"/>
        <w:numPr>
          <w:ilvl w:val="0"/>
          <w:numId w:val="1002"/>
        </w:numPr>
      </w:pPr>
      <w:r>
        <w:t xml:space="preserve">Cable would receive less revenue and might not be EBITDA-accretive on a standalone basis.</w:t>
      </w:r>
    </w:p>
    <w:p>
      <w:pPr>
        <w:pStyle w:val="Compact"/>
        <w:numPr>
          <w:ilvl w:val="0"/>
          <w:numId w:val="1002"/>
        </w:numPr>
      </w:pPr>
      <w:r>
        <w:t xml:space="preserve">The event should support FOX One subscriber acquisition and increase Tubi exposure, although revenue from Tubi’s simulcasts would be recognized at FOX Sports. (</w:t>
      </w:r>
      <w:hyperlink r:id="rId14">
        <w:r>
          <w:rPr>
            <w:rStyle w:val="Hyperlink"/>
          </w:rPr>
          <w:t xml:space="preserve">media.investor.foxcorporation.com</w:t>
        </w:r>
      </w:hyperlink>
      <w:r>
        <w:t xml:space="preserve">)</w:t>
      </w:r>
    </w:p>
    <w:p>
      <w:pPr>
        <w:pStyle w:val="FirstParagraph"/>
      </w:pPr>
      <w:r>
        <w:t xml:space="preserve">The most useful disclosures would be:</w:t>
      </w:r>
    </w:p>
    <w:p>
      <w:pPr>
        <w:pStyle w:val="Compact"/>
        <w:numPr>
          <w:ilvl w:val="0"/>
          <w:numId w:val="1003"/>
        </w:numPr>
      </w:pPr>
      <w:r>
        <w:t xml:space="preserve">World Cup advertising revenue versus FOX’s internal plan.</w:t>
      </w:r>
    </w:p>
    <w:p>
      <w:pPr>
        <w:pStyle w:val="Compact"/>
        <w:numPr>
          <w:ilvl w:val="0"/>
          <w:numId w:val="1003"/>
        </w:numPr>
      </w:pPr>
      <w:r>
        <w:t xml:space="preserve">Incremental production and sports-rights expenses.</w:t>
      </w:r>
    </w:p>
    <w:p>
      <w:pPr>
        <w:pStyle w:val="Compact"/>
        <w:numPr>
          <w:ilvl w:val="0"/>
          <w:numId w:val="1003"/>
        </w:numPr>
      </w:pPr>
      <w:r>
        <w:t xml:space="preserve">FOX One sign-ups, churn and post-tournament retention.</w:t>
      </w:r>
    </w:p>
    <w:p>
      <w:pPr>
        <w:pStyle w:val="Compact"/>
        <w:numPr>
          <w:ilvl w:val="0"/>
          <w:numId w:val="1003"/>
        </w:numPr>
      </w:pPr>
      <w:r>
        <w:t xml:space="preserve">Whether advertiser demand remained firm through the later tournament rounds.</w:t>
      </w:r>
    </w:p>
    <w:p>
      <w:pPr>
        <w:pStyle w:val="Compact"/>
        <w:numPr>
          <w:ilvl w:val="0"/>
          <w:numId w:val="1003"/>
        </w:numPr>
      </w:pPr>
      <w:r>
        <w:t xml:space="preserve">Any indication that the event lifted broader FOX engagement rather than simply creating a temporary audience spike.</w:t>
      </w:r>
    </w:p>
    <w:p>
      <w:pPr>
        <w:pStyle w:val="FirstParagraph"/>
      </w:pPr>
      <w:r>
        <w:t xml:space="preserve">A headline revenue beat driven by expensive sports inventory would be less valuable than a smaller beat accompanied by strong incremental margins and durable FOX One subscriber retention.</w:t>
      </w:r>
    </w:p>
    <w:bookmarkEnd w:id="15"/>
    <w:bookmarkStart w:id="16" w:name="X72a90ada07d3d203b7cd701b97bf545fb88e0be"/>
    <w:p>
      <w:pPr>
        <w:pStyle w:val="Heading3"/>
      </w:pPr>
      <w:r>
        <w:t xml:space="preserve">2. Tubi and FOX One</w:t>
      </w:r>
    </w:p>
    <w:p>
      <w:pPr>
        <w:pStyle w:val="FirstParagraph"/>
      </w:pPr>
      <w:r>
        <w:t xml:space="preserve">Tubi entered the quarter with considerable momentum: Q3 revenue grew</w:t>
      </w:r>
      <w:r>
        <w:t xml:space="preserve"> </w:t>
      </w:r>
      <w:r>
        <w:rPr>
          <w:b/>
          <w:bCs/>
        </w:rPr>
        <w:t xml:space="preserve">23%</w:t>
      </w:r>
      <w:r>
        <w:t xml:space="preserve">, total viewing time increased</w:t>
      </w:r>
      <w:r>
        <w:t xml:space="preserve"> </w:t>
      </w:r>
      <w:r>
        <w:rPr>
          <w:b/>
          <w:bCs/>
        </w:rPr>
        <w:t xml:space="preserve">19%</w:t>
      </w:r>
      <w:r>
        <w:t xml:space="preserve">, and the service had been at or above break-even for three consecutive quarters. Management also expected fiscal 2026 digital investment to finish comfortably below the roughly $290 million incurred in fiscal 2025. (</w:t>
      </w:r>
      <w:hyperlink r:id="rId14">
        <w:r>
          <w:rPr>
            <w:rStyle w:val="Hyperlink"/>
          </w:rPr>
          <w:t xml:space="preserve">media.investor.foxcorporation.com</w:t>
        </w:r>
      </w:hyperlink>
      <w:r>
        <w:t xml:space="preserve">)</w:t>
      </w:r>
    </w:p>
    <w:p>
      <w:pPr>
        <w:pStyle w:val="BodyText"/>
      </w:pPr>
      <w:r>
        <w:t xml:space="preserve">For Tubi, investors should focus on:</w:t>
      </w:r>
    </w:p>
    <w:p>
      <w:pPr>
        <w:pStyle w:val="Compact"/>
        <w:numPr>
          <w:ilvl w:val="0"/>
          <w:numId w:val="1004"/>
        </w:numPr>
      </w:pPr>
      <w:r>
        <w:t xml:space="preserve">Revenue growth relative to the 23% Q3 rate.</w:t>
      </w:r>
    </w:p>
    <w:p>
      <w:pPr>
        <w:pStyle w:val="Compact"/>
        <w:numPr>
          <w:ilvl w:val="0"/>
          <w:numId w:val="1004"/>
        </w:numPr>
      </w:pPr>
      <w:r>
        <w:t xml:space="preserve">Whether profitability remained around break-even despite World Cup promotion.</w:t>
      </w:r>
    </w:p>
    <w:p>
      <w:pPr>
        <w:pStyle w:val="Compact"/>
        <w:numPr>
          <w:ilvl w:val="0"/>
          <w:numId w:val="1004"/>
        </w:numPr>
      </w:pPr>
      <w:r>
        <w:t xml:space="preserve">Engagement and user growth.</w:t>
      </w:r>
    </w:p>
    <w:p>
      <w:pPr>
        <w:pStyle w:val="Compact"/>
        <w:numPr>
          <w:ilvl w:val="0"/>
          <w:numId w:val="1004"/>
        </w:numPr>
      </w:pPr>
      <w:r>
        <w:t xml:space="preserve">Advertising pricing and fill rates.</w:t>
      </w:r>
    </w:p>
    <w:p>
      <w:pPr>
        <w:pStyle w:val="Compact"/>
        <w:numPr>
          <w:ilvl w:val="0"/>
          <w:numId w:val="1004"/>
        </w:numPr>
      </w:pPr>
      <w:r>
        <w:t xml:space="preserve">Whether the Roku transaction changes FOX’s near-term investment plans.</w:t>
      </w:r>
    </w:p>
    <w:p>
      <w:pPr>
        <w:pStyle w:val="FirstParagraph"/>
      </w:pPr>
      <w:r>
        <w:t xml:space="preserve">For FOX One, management previously said the service had exceeded expectations, experienced lower-than-expected churn, and received more than half its Q3 viewing from news. Sports additions were also driving new subscribers. The central question is whether FOX One can become a meaningful offset to traditional pay-TV subscriber erosion without requiring excessive marketing or content spending. (</w:t>
      </w:r>
      <w:hyperlink r:id="rId14">
        <w:r>
          <w:rPr>
            <w:rStyle w:val="Hyperlink"/>
          </w:rPr>
          <w:t xml:space="preserve">media.investor.foxcorporation.com</w:t>
        </w:r>
      </w:hyperlink>
      <w:r>
        <w:t xml:space="preserve">)</w:t>
      </w:r>
    </w:p>
    <w:bookmarkEnd w:id="16"/>
    <w:bookmarkStart w:id="17" w:name="X1c1af71a502b77f01de82fd7b4c90174fac0e7d"/>
    <w:p>
      <w:pPr>
        <w:pStyle w:val="Heading3"/>
      </w:pPr>
      <w:r>
        <w:t xml:space="preserve">3. Advertising momentum</w:t>
      </w:r>
    </w:p>
    <w:p>
      <w:pPr>
        <w:pStyle w:val="FirstParagraph"/>
      </w:pPr>
      <w:r>
        <w:t xml:space="preserve">Underlying advertising was strong before the World Cup. In Q3, total advertising declined because FOX was comparing against the prior-year Super Bowl, but management said advertising would have grown by double digits excluding the Super Bowl and other NFL schedule differences.</w:t>
      </w:r>
    </w:p>
    <w:p>
      <w:pPr>
        <w:pStyle w:val="BodyText"/>
      </w:pPr>
      <w:r>
        <w:t xml:space="preserve">Management also described healthy scatter pricing, low cancellation activity and improving local advertising. At FOX News, national pricing and CPMs were said to be up more than 45%, supported by hundreds of new advertisers added over fiscal 2025 and 2026. (</w:t>
      </w:r>
      <w:hyperlink r:id="rId14">
        <w:r>
          <w:rPr>
            <w:rStyle w:val="Hyperlink"/>
          </w:rPr>
          <w:t xml:space="preserve">media.investor.foxcorporation.com</w:t>
        </w:r>
      </w:hyperlink>
      <w:r>
        <w:t xml:space="preserve">)</w:t>
      </w:r>
    </w:p>
    <w:p>
      <w:pPr>
        <w:pStyle w:val="BodyText"/>
      </w:pPr>
      <w:r>
        <w:t xml:space="preserve">Key questions include:</w:t>
      </w:r>
    </w:p>
    <w:p>
      <w:pPr>
        <w:pStyle w:val="Compact"/>
        <w:numPr>
          <w:ilvl w:val="0"/>
          <w:numId w:val="1005"/>
        </w:numPr>
      </w:pPr>
      <w:r>
        <w:t xml:space="preserve">Did core advertising remain strong outside the World Cup?</w:t>
      </w:r>
    </w:p>
    <w:p>
      <w:pPr>
        <w:pStyle w:val="Compact"/>
        <w:numPr>
          <w:ilvl w:val="0"/>
          <w:numId w:val="1005"/>
        </w:numPr>
      </w:pPr>
      <w:r>
        <w:t xml:space="preserve">Is FOX News pricing offsetting any normalization in ratings?</w:t>
      </w:r>
    </w:p>
    <w:p>
      <w:pPr>
        <w:pStyle w:val="Compact"/>
        <w:numPr>
          <w:ilvl w:val="0"/>
          <w:numId w:val="1005"/>
        </w:numPr>
      </w:pPr>
      <w:r>
        <w:t xml:space="preserve">What did FOX secure in the upfront market?</w:t>
      </w:r>
    </w:p>
    <w:p>
      <w:pPr>
        <w:pStyle w:val="Compact"/>
        <w:numPr>
          <w:ilvl w:val="0"/>
          <w:numId w:val="1005"/>
        </w:numPr>
      </w:pPr>
      <w:r>
        <w:t xml:space="preserve">How much political advertising was already recognized in Q4?</w:t>
      </w:r>
    </w:p>
    <w:p>
      <w:pPr>
        <w:pStyle w:val="Compact"/>
        <w:numPr>
          <w:ilvl w:val="0"/>
          <w:numId w:val="1005"/>
        </w:numPr>
      </w:pPr>
      <w:r>
        <w:t xml:space="preserve">Is local advertising improving enough to produce meaningful growth in fiscal 2027?</w:t>
      </w:r>
    </w:p>
    <w:p>
      <w:pPr>
        <w:pStyle w:val="FirstParagraph"/>
      </w:pPr>
      <w:r>
        <w:t xml:space="preserve">Because fiscal 2027 includes the U.S. midterm-election cycle, management’s political-ad commentary may matter more than the backward-looking Q4 result.</w:t>
      </w:r>
    </w:p>
    <w:bookmarkEnd w:id="17"/>
    <w:bookmarkStart w:id="18" w:name="Xf3113e786399f847078f82c268e543ed0e64a87"/>
    <w:p>
      <w:pPr>
        <w:pStyle w:val="Heading3"/>
      </w:pPr>
      <w:r>
        <w:t xml:space="preserve">4. Distribution revenue and linear subscriber trends</w:t>
      </w:r>
    </w:p>
    <w:p>
      <w:pPr>
        <w:pStyle w:val="FirstParagraph"/>
      </w:pPr>
      <w:r>
        <w:t xml:space="preserve">In Q3, Cable distribution revenue grew 5%, with pricing more than offsetting subscriber declines. Traditional third-party subscriber erosion remained below 6.5%, excluding FOX One, while Television distribution revenue declined 1%. Management expected Television distribution to be roughly flat for fiscal 2026 and return to growth in fiscal 2027. (</w:t>
      </w:r>
      <w:hyperlink r:id="rId14">
        <w:r>
          <w:rPr>
            <w:rStyle w:val="Hyperlink"/>
          </w:rPr>
          <w:t xml:space="preserve">media.investor.foxcorporation.com</w:t>
        </w:r>
      </w:hyperlink>
      <w:r>
        <w:t xml:space="preserve">)</w:t>
      </w:r>
    </w:p>
    <w:p>
      <w:pPr>
        <w:pStyle w:val="BodyText"/>
      </w:pPr>
      <w:r>
        <w:t xml:space="preserve">Watch for:</w:t>
      </w:r>
    </w:p>
    <w:p>
      <w:pPr>
        <w:pStyle w:val="Compact"/>
        <w:numPr>
          <w:ilvl w:val="0"/>
          <w:numId w:val="1006"/>
        </w:numPr>
      </w:pPr>
      <w:r>
        <w:t xml:space="preserve">Whether cable subscriber declines remain below 6.5%.</w:t>
      </w:r>
    </w:p>
    <w:p>
      <w:pPr>
        <w:pStyle w:val="Compact"/>
        <w:numPr>
          <w:ilvl w:val="0"/>
          <w:numId w:val="1006"/>
        </w:numPr>
      </w:pPr>
      <w:r>
        <w:t xml:space="preserve">How much FOX One is contributing to reported distribution growth.</w:t>
      </w:r>
    </w:p>
    <w:p>
      <w:pPr>
        <w:pStyle w:val="Compact"/>
        <w:numPr>
          <w:ilvl w:val="0"/>
          <w:numId w:val="1006"/>
        </w:numPr>
      </w:pPr>
      <w:r>
        <w:t xml:space="preserve">Progress on fiscal 2027 renewals—more than one-third of distribution revenue was expected to come up for renewal, skewed toward Television.</w:t>
      </w:r>
    </w:p>
    <w:p>
      <w:pPr>
        <w:pStyle w:val="Compact"/>
        <w:numPr>
          <w:ilvl w:val="0"/>
          <w:numId w:val="1006"/>
        </w:numPr>
      </w:pPr>
      <w:r>
        <w:t xml:space="preserve">Whether FOX’s pricing power remains sufficient to offset linear erosion.</w:t>
      </w:r>
    </w:p>
    <w:p>
      <w:pPr>
        <w:pStyle w:val="FirstParagraph"/>
      </w:pPr>
      <w:r>
        <w:t xml:space="preserve">Continued positive Cable distribution growth would reinforce the argument that FOX’s live news and sports assets are more resilient than the broader cable-network universe.</w:t>
      </w:r>
    </w:p>
    <w:bookmarkEnd w:id="18"/>
    <w:bookmarkEnd w:id="19"/>
    <w:bookmarkStart w:id="22" w:name="roku-will-probably-dominate-the-call"/>
    <w:p>
      <w:pPr>
        <w:pStyle w:val="Heading2"/>
      </w:pPr>
      <w:r>
        <w:t xml:space="preserve">Roku will probably dominate the call</w:t>
      </w:r>
    </w:p>
    <w:p>
      <w:pPr>
        <w:pStyle w:val="FirstParagraph"/>
      </w:pPr>
      <w:r>
        <w:t xml:space="preserve">FOX agreed on June 15 to acquire Roku for</w:t>
      </w:r>
      <w:r>
        <w:t xml:space="preserve"> </w:t>
      </w:r>
      <m:oMath>
        <m:r>
          <m:t>160</m:t>
        </m:r>
        <m:r>
          <m:t>p</m:t>
        </m:r>
        <m:r>
          <m:t>e</m:t>
        </m:r>
        <m:r>
          <m:t>r</m:t>
        </m:r>
        <m:r>
          <m:t>s</m:t>
        </m:r>
        <m:r>
          <m:t>h</m:t>
        </m:r>
        <m:r>
          <m:t>a</m:t>
        </m:r>
        <m:r>
          <m:t>r</m:t>
        </m:r>
        <m:r>
          <m:t>e</m:t>
        </m:r>
        <m:r>
          <m:rPr>
            <m:sty m:val="p"/>
          </m:rPr>
          <m:t>*</m:t>
        </m:r>
        <m:r>
          <m:rPr>
            <m:sty m:val="p"/>
          </m:rPr>
          <m:t>*</m:t>
        </m:r>
        <m:r>
          <m:rPr>
            <m:sty m:val="p"/>
          </m:rPr>
          <m:t>,</m:t>
        </m:r>
        <m:r>
          <m:t>v</m:t>
        </m:r>
        <m:r>
          <m:t>a</m:t>
        </m:r>
        <m:r>
          <m:t>l</m:t>
        </m:r>
        <m:r>
          <m:t>u</m:t>
        </m:r>
        <m:r>
          <m:t>i</m:t>
        </m:r>
        <m:r>
          <m:t>n</m:t>
        </m:r>
        <m:r>
          <m:t>g</m:t>
        </m:r>
        <m:r>
          <m:t>t</m:t>
        </m:r>
        <m:r>
          <m:t>h</m:t>
        </m:r>
        <m:r>
          <m:t>e</m:t>
        </m:r>
        <m:r>
          <m:t>c</m:t>
        </m:r>
        <m:r>
          <m:t>o</m:t>
        </m:r>
        <m:r>
          <m:t>m</m:t>
        </m:r>
        <m:r>
          <m:t>p</m:t>
        </m:r>
        <m:r>
          <m:t>a</m:t>
        </m:r>
        <m:r>
          <m:t>n</m:t>
        </m:r>
        <m:r>
          <m:t>y</m:t>
        </m:r>
        <m:r>
          <m:t>a</m:t>
        </m:r>
        <m:r>
          <m:t>t</m:t>
        </m:r>
        <m:r>
          <m:t>a</m:t>
        </m:r>
        <m:r>
          <m:t>p</m:t>
        </m:r>
        <m:r>
          <m:t>p</m:t>
        </m:r>
        <m:r>
          <m:t>r</m:t>
        </m:r>
        <m:r>
          <m:t>o</m:t>
        </m:r>
        <m:r>
          <m:t>x</m:t>
        </m:r>
        <m:r>
          <m:t>i</m:t>
        </m:r>
        <m:r>
          <m:t>m</m:t>
        </m:r>
        <m:r>
          <m:t>a</m:t>
        </m:r>
        <m:r>
          <m:t>t</m:t>
        </m:r>
        <m:r>
          <m:t>e</m:t>
        </m:r>
        <m:r>
          <m:t>l</m:t>
        </m:r>
        <m:r>
          <m:t>y</m:t>
        </m:r>
        <m:r>
          <m:rPr>
            <m:sty m:val="p"/>
          </m:rPr>
          <m:t>*</m:t>
        </m:r>
        <m:r>
          <m:rPr>
            <m:sty m:val="p"/>
          </m:rPr>
          <m:t>*</m:t>
        </m:r>
      </m:oMath>
      <w:r>
        <w:rPr>
          <w:b/>
          <w:bCs/>
        </w:rPr>
        <w:t xml:space="preserve">22 billion in enterprise value</w:t>
      </w:r>
      <w:r>
        <w:t xml:space="preserve">. The consideration consists of cash and FOX Class A stock; current FOX shareholders are expected to own about 73% of the combined company, with Roku shareholders owning about 27%. FOX expects approximately $400 million of run-rate cost synergies, free-cash-flow-per-share accretion by the second full year after closing, and pro forma net leverage of approximately 2.8 times. The transaction is expected to close in the first half of calendar 2027, subject to shareholder and regulatory approvals. (</w:t>
      </w:r>
      <w:hyperlink r:id="rId20">
        <w:r>
          <w:rPr>
            <w:rStyle w:val="Hyperlink"/>
          </w:rPr>
          <w:t xml:space="preserve">investor.foxcorporation.com</w:t>
        </w:r>
      </w:hyperlink>
      <w:r>
        <w:t xml:space="preserve">)</w:t>
      </w:r>
    </w:p>
    <w:p>
      <w:pPr>
        <w:pStyle w:val="BodyText"/>
      </w:pPr>
      <w:r>
        <w:t xml:space="preserve">FOX shares remain roughly</w:t>
      </w:r>
      <w:r>
        <w:t xml:space="preserve"> </w:t>
      </w:r>
      <w:r>
        <w:rPr>
          <w:b/>
          <w:bCs/>
        </w:rPr>
        <w:t xml:space="preserve">14%–15% below their June 11 pre-announcement levels</w:t>
      </w:r>
      <w:r>
        <w:t xml:space="preserve"> </w:t>
      </w:r>
      <w:r>
        <w:t xml:space="preserve">as of the August 5 close. The market is therefore signaling substantial skepticism around purchase price, debt, dilution and execution. The initial announcement itself sent FOX shares down about 15%. (</w:t>
      </w:r>
      <w:hyperlink r:id="rId21">
        <w:r>
          <w:rPr>
            <w:rStyle w:val="Hyperlink"/>
          </w:rPr>
          <w:t xml:space="preserve">apnews.com</w:t>
        </w:r>
      </w:hyperlink>
      <w:r>
        <w:t xml:space="preserve">)</w:t>
      </w:r>
    </w:p>
    <w:p>
      <w:pPr>
        <w:pStyle w:val="BodyText"/>
      </w:pPr>
      <w:r>
        <w:t xml:space="preserve">Investors should press management on five areas:</w:t>
      </w:r>
    </w:p>
    <w:p>
      <w:pPr>
        <w:pStyle w:val="Compact"/>
        <w:numPr>
          <w:ilvl w:val="0"/>
          <w:numId w:val="1007"/>
        </w:numPr>
      </w:pPr>
      <w:r>
        <w:rPr>
          <w:b/>
          <w:bCs/>
        </w:rPr>
        <w:t xml:space="preserve">Permanent financing:</w:t>
      </w:r>
      <w:r>
        <w:t xml:space="preserve"> </w:t>
      </w:r>
      <w:r>
        <w:t xml:space="preserve">How much acquisition debt has been locked in, at what expected cost and maturity?</w:t>
      </w:r>
    </w:p>
    <w:p>
      <w:pPr>
        <w:pStyle w:val="Compact"/>
        <w:numPr>
          <w:ilvl w:val="0"/>
          <w:numId w:val="1007"/>
        </w:numPr>
      </w:pPr>
      <w:r>
        <w:rPr>
          <w:b/>
          <w:bCs/>
        </w:rPr>
        <w:t xml:space="preserve">Deleveraging:</w:t>
      </w:r>
      <w:r>
        <w:t xml:space="preserve"> </w:t>
      </w:r>
      <w:r>
        <w:t xml:space="preserve">What is the expected annual debt-reduction path after closing?</w:t>
      </w:r>
    </w:p>
    <w:p>
      <w:pPr>
        <w:pStyle w:val="Compact"/>
        <w:numPr>
          <w:ilvl w:val="0"/>
          <w:numId w:val="1007"/>
        </w:numPr>
      </w:pPr>
      <w:r>
        <w:rPr>
          <w:b/>
          <w:bCs/>
        </w:rPr>
        <w:t xml:space="preserve">Buybacks:</w:t>
      </w:r>
      <w:r>
        <w:t xml:space="preserve"> </w:t>
      </w:r>
      <w:r>
        <w:t xml:space="preserve">FOX says capital returns will continue, but will the pace fall materially while the balance sheet is rebuilt?</w:t>
      </w:r>
    </w:p>
    <w:p>
      <w:pPr>
        <w:pStyle w:val="Compact"/>
        <w:numPr>
          <w:ilvl w:val="0"/>
          <w:numId w:val="1007"/>
        </w:numPr>
      </w:pPr>
      <w:r>
        <w:rPr>
          <w:b/>
          <w:bCs/>
        </w:rPr>
        <w:t xml:space="preserve">Synergies:</w:t>
      </w:r>
      <w:r>
        <w:t xml:space="preserve"> </w:t>
      </w:r>
      <w:r>
        <w:t xml:space="preserve">How much of the $400 million is technology, advertising, content, corporate overhead or other costs—and how quickly can it be realized?</w:t>
      </w:r>
    </w:p>
    <w:p>
      <w:pPr>
        <w:pStyle w:val="Compact"/>
        <w:numPr>
          <w:ilvl w:val="0"/>
          <w:numId w:val="1007"/>
        </w:numPr>
      </w:pPr>
      <w:r>
        <w:rPr>
          <w:b/>
          <w:bCs/>
        </w:rPr>
        <w:t xml:space="preserve">Platform neutrality:</w:t>
      </w:r>
      <w:r>
        <w:t xml:space="preserve"> </w:t>
      </w:r>
      <w:r>
        <w:t xml:space="preserve">How will FOX promote Tubi, FOX One and other owned content without weakening Roku’s relationship with Netflix, Disney, Amazon and other platform partners?</w:t>
      </w:r>
    </w:p>
    <w:p>
      <w:pPr>
        <w:pStyle w:val="FirstParagraph"/>
      </w:pPr>
      <w:r>
        <w:t xml:space="preserve">The strategically bullish interpretation is that FOX is buying distribution, first-party data and connected-TV advertising capabilities that it could not efficiently build on its own. The bearish interpretation is that FOX is exchanging a focused, cash-generative company and aggressive buybacks for a much larger, more leveraged and operationally complicated platform bet.</w:t>
      </w:r>
    </w:p>
    <w:bookmarkEnd w:id="22"/>
    <w:bookmarkStart w:id="23" w:name="balance-sheet-and-capital-allocation"/>
    <w:p>
      <w:pPr>
        <w:pStyle w:val="Heading2"/>
      </w:pPr>
      <w:r>
        <w:t xml:space="preserve">Balance sheet and capital allocation</w:t>
      </w:r>
    </w:p>
    <w:p>
      <w:pPr>
        <w:pStyle w:val="FirstParagraph"/>
      </w:pPr>
      <w:r>
        <w:t xml:space="preserve">At March 31, FOX had approximately</w:t>
      </w:r>
      <w:r>
        <w:t xml:space="preserve"> </w:t>
      </w:r>
      <w:r>
        <w:rPr>
          <w:b/>
          <w:bCs/>
        </w:rPr>
        <w:t xml:space="preserve">$3.6 billion of cash and $6.6 billion of debt</w:t>
      </w:r>
      <w:r>
        <w:t xml:space="preserve">. It had repurchased $1.95 billion of shares fiscal year-to-date and approximately 36% of its shares outstanding since launching the program in 2019. (</w:t>
      </w:r>
      <w:hyperlink r:id="rId12">
        <w:r>
          <w:rPr>
            <w:rStyle w:val="Hyperlink"/>
          </w:rPr>
          <w:t xml:space="preserve">media.foxcorporation.com</w:t>
        </w:r>
      </w:hyperlink>
      <w:r>
        <w:t xml:space="preserve">)</w:t>
      </w:r>
    </w:p>
    <w:p>
      <w:pPr>
        <w:pStyle w:val="BodyText"/>
      </w:pPr>
      <w:r>
        <w:t xml:space="preserve">The Q4 cash-flow figure matters, but the more important issue is how management reconciles three simultaneous priorities:</w:t>
      </w:r>
    </w:p>
    <w:p>
      <w:pPr>
        <w:pStyle w:val="Compact"/>
        <w:numPr>
          <w:ilvl w:val="0"/>
          <w:numId w:val="1008"/>
        </w:numPr>
      </w:pPr>
      <w:r>
        <w:t xml:space="preserve">Funding the cash portion of Roku.</w:t>
      </w:r>
    </w:p>
    <w:p>
      <w:pPr>
        <w:pStyle w:val="Compact"/>
        <w:numPr>
          <w:ilvl w:val="0"/>
          <w:numId w:val="1008"/>
        </w:numPr>
      </w:pPr>
      <w:r>
        <w:t xml:space="preserve">Maintaining investment-grade credit metrics.</w:t>
      </w:r>
    </w:p>
    <w:p>
      <w:pPr>
        <w:pStyle w:val="Compact"/>
        <w:numPr>
          <w:ilvl w:val="0"/>
          <w:numId w:val="1008"/>
        </w:numPr>
      </w:pPr>
      <w:r>
        <w:t xml:space="preserve">Continuing meaningful dividends and repurchases.</w:t>
      </w:r>
    </w:p>
    <w:p>
      <w:pPr>
        <w:pStyle w:val="FirstParagraph"/>
      </w:pPr>
      <w:r>
        <w:t xml:space="preserve">A nominal continuation of the buyback authorization is not the same as maintaining the prior repurchase pace. Investors should look for actual quarterly repurchase intentions and explicit leverage targets.</w:t>
      </w:r>
    </w:p>
    <w:bookmarkEnd w:id="23"/>
    <w:bookmarkStart w:id="27" w:name="potential-reaction-framework"/>
    <w:p>
      <w:pPr>
        <w:pStyle w:val="Heading2"/>
      </w:pPr>
      <w:r>
        <w:t xml:space="preserve">Potential reaction framework</w:t>
      </w:r>
    </w:p>
    <w:bookmarkStart w:id="24" w:name="bullish-outcome"/>
    <w:p>
      <w:pPr>
        <w:pStyle w:val="Heading3"/>
      </w:pPr>
      <w:r>
        <w:t xml:space="preserve">Bullish outcome</w:t>
      </w:r>
    </w:p>
    <w:p>
      <w:pPr>
        <w:pStyle w:val="Compact"/>
        <w:numPr>
          <w:ilvl w:val="0"/>
          <w:numId w:val="1009"/>
        </w:numPr>
      </w:pPr>
      <w:r>
        <w:t xml:space="preserve">Revenue and adjusted EPS exceed the upper end of the public estimate range.</w:t>
      </w:r>
    </w:p>
    <w:p>
      <w:pPr>
        <w:pStyle w:val="Compact"/>
        <w:numPr>
          <w:ilvl w:val="0"/>
          <w:numId w:val="1009"/>
        </w:numPr>
      </w:pPr>
      <w:r>
        <w:t xml:space="preserve">Q4 EBITDA is comfortably above the roughly $914 million record threshold.</w:t>
      </w:r>
    </w:p>
    <w:p>
      <w:pPr>
        <w:pStyle w:val="Compact"/>
        <w:numPr>
          <w:ilvl w:val="0"/>
          <w:numId w:val="1009"/>
        </w:numPr>
      </w:pPr>
      <w:r>
        <w:t xml:space="preserve">World Cup economics exceed plan with attractive incremental margins.</w:t>
      </w:r>
    </w:p>
    <w:p>
      <w:pPr>
        <w:pStyle w:val="Compact"/>
        <w:numPr>
          <w:ilvl w:val="0"/>
          <w:numId w:val="1009"/>
        </w:numPr>
      </w:pPr>
      <w:r>
        <w:t xml:space="preserve">Tubi remains near break-even while sustaining approximately 20%-plus growth.</w:t>
      </w:r>
    </w:p>
    <w:p>
      <w:pPr>
        <w:pStyle w:val="Compact"/>
        <w:numPr>
          <w:ilvl w:val="0"/>
          <w:numId w:val="1009"/>
        </w:numPr>
      </w:pPr>
      <w:r>
        <w:t xml:space="preserve">FOX One shows strong sign-ups and manageable post-event churn.</w:t>
      </w:r>
    </w:p>
    <w:p>
      <w:pPr>
        <w:pStyle w:val="Compact"/>
        <w:numPr>
          <w:ilvl w:val="0"/>
          <w:numId w:val="1009"/>
        </w:numPr>
      </w:pPr>
      <w:r>
        <w:t xml:space="preserve">Management provides credible Roku financing and deleveraging details without materially retreating from buybacks.</w:t>
      </w:r>
    </w:p>
    <w:p>
      <w:pPr>
        <w:pStyle w:val="Compact"/>
        <w:numPr>
          <w:ilvl w:val="0"/>
          <w:numId w:val="1009"/>
        </w:numPr>
      </w:pPr>
      <w:r>
        <w:t xml:space="preserve">Fiscal 2027 commentary is supported by World Cup carryover, political advertising and distribution renewals.</w:t>
      </w:r>
    </w:p>
    <w:bookmarkEnd w:id="24"/>
    <w:bookmarkStart w:id="25" w:name="mixed-outcome"/>
    <w:p>
      <w:pPr>
        <w:pStyle w:val="Heading3"/>
      </w:pPr>
      <w:r>
        <w:t xml:space="preserve">Mixed outcome</w:t>
      </w:r>
    </w:p>
    <w:p>
      <w:pPr>
        <w:pStyle w:val="Compact"/>
        <w:numPr>
          <w:ilvl w:val="0"/>
          <w:numId w:val="1010"/>
        </w:numPr>
      </w:pPr>
      <w:r>
        <w:t xml:space="preserve">Revenue beats because of the World Cup, but EBITDA and EPS are merely in line.</w:t>
      </w:r>
    </w:p>
    <w:p>
      <w:pPr>
        <w:pStyle w:val="Compact"/>
        <w:numPr>
          <w:ilvl w:val="0"/>
          <w:numId w:val="1010"/>
        </w:numPr>
      </w:pPr>
      <w:r>
        <w:t xml:space="preserve">Tubi remains healthy, but FOX One metrics remain undisclosed.</w:t>
      </w:r>
    </w:p>
    <w:p>
      <w:pPr>
        <w:pStyle w:val="Compact"/>
        <w:numPr>
          <w:ilvl w:val="0"/>
          <w:numId w:val="1010"/>
        </w:numPr>
      </w:pPr>
      <w:r>
        <w:t xml:space="preserve">Core advertising is stable rather than accelerating.</w:t>
      </w:r>
    </w:p>
    <w:p>
      <w:pPr>
        <w:pStyle w:val="Compact"/>
        <w:numPr>
          <w:ilvl w:val="0"/>
          <w:numId w:val="1010"/>
        </w:numPr>
      </w:pPr>
      <w:r>
        <w:t xml:space="preserve">Management reiterates Roku targets without adding financing or synergy detail.</w:t>
      </w:r>
    </w:p>
    <w:bookmarkEnd w:id="25"/>
    <w:bookmarkStart w:id="26" w:name="bearish-outcome"/>
    <w:p>
      <w:pPr>
        <w:pStyle w:val="Heading3"/>
      </w:pPr>
      <w:r>
        <w:t xml:space="preserve">Bearish outcome</w:t>
      </w:r>
    </w:p>
    <w:p>
      <w:pPr>
        <w:pStyle w:val="Compact"/>
        <w:numPr>
          <w:ilvl w:val="0"/>
          <w:numId w:val="1011"/>
        </w:numPr>
      </w:pPr>
      <w:r>
        <w:t xml:space="preserve">Q4 EBITDA falls below the level required for record full-year EBITDA.</w:t>
      </w:r>
    </w:p>
    <w:p>
      <w:pPr>
        <w:pStyle w:val="Compact"/>
        <w:numPr>
          <w:ilvl w:val="0"/>
          <w:numId w:val="1011"/>
        </w:numPr>
      </w:pPr>
      <w:r>
        <w:t xml:space="preserve">World Cup revenue comes with weaker-than-expected margins.</w:t>
      </w:r>
    </w:p>
    <w:p>
      <w:pPr>
        <w:pStyle w:val="Compact"/>
        <w:numPr>
          <w:ilvl w:val="0"/>
          <w:numId w:val="1011"/>
        </w:numPr>
      </w:pPr>
      <w:r>
        <w:t xml:space="preserve">Core advertising decelerates outside sports.</w:t>
      </w:r>
    </w:p>
    <w:p>
      <w:pPr>
        <w:pStyle w:val="Compact"/>
        <w:numPr>
          <w:ilvl w:val="0"/>
          <w:numId w:val="1011"/>
        </w:numPr>
      </w:pPr>
      <w:r>
        <w:t xml:space="preserve">Cable subscriber erosion worsens or Television distribution remains under pressure.</w:t>
      </w:r>
    </w:p>
    <w:p>
      <w:pPr>
        <w:pStyle w:val="Compact"/>
        <w:numPr>
          <w:ilvl w:val="0"/>
          <w:numId w:val="1011"/>
        </w:numPr>
      </w:pPr>
      <w:r>
        <w:t xml:space="preserve">Corporate or acquisition-related costs rise sharply.</w:t>
      </w:r>
    </w:p>
    <w:p>
      <w:pPr>
        <w:pStyle w:val="Compact"/>
        <w:numPr>
          <w:ilvl w:val="0"/>
          <w:numId w:val="1011"/>
        </w:numPr>
      </w:pPr>
      <w:r>
        <w:t xml:space="preserve">Management becomes less specific about Roku accretion, leverage or ongoing buybacks.</w:t>
      </w:r>
    </w:p>
    <w:bookmarkEnd w:id="26"/>
    <w:bookmarkEnd w:id="27"/>
    <w:bookmarkStart w:id="28" w:name="bottom-line"/>
    <w:p>
      <w:pPr>
        <w:pStyle w:val="Heading2"/>
      </w:pPr>
      <w:r>
        <w:t xml:space="preserve">Bottom line</w:t>
      </w:r>
    </w:p>
    <w:p>
      <w:pPr>
        <w:pStyle w:val="FirstParagraph"/>
      </w:pPr>
      <w:r>
        <w:t xml:space="preserve">FOX enters the report with favorable operating momentum and relatively achievable headline comparisons. The World Cup, Tubi, FOX One and FOX News pricing all create opportunities for upside, and the approximately $914 million Q4 EBITDA threshold gives investors a clear test of management’s record-year commitment.</w:t>
      </w:r>
    </w:p>
    <w:p>
      <w:pPr>
        <w:pStyle w:val="BodyText"/>
      </w:pPr>
      <w:r>
        <w:t xml:space="preserve">However, a routine earnings beat may not be enough to materially re-rate the shares.</w:t>
      </w:r>
      <w:r>
        <w:t xml:space="preserve"> </w:t>
      </w:r>
      <w:r>
        <w:rPr>
          <w:b/>
          <w:bCs/>
        </w:rPr>
        <w:t xml:space="preserve">The decisive issue is whether management can convince investors that Roku will enhance long-term per-share value without sacrificing the balance-sheet discipline and capital returns that previously supported the FOX thesis.</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1" Target="https://apnews.com/article/824089dbe16631fade634becdb164c94" TargetMode="External" /><Relationship Type="http://schemas.openxmlformats.org/officeDocument/2006/relationships/hyperlink" Id="rId9" Target="https://investor.foxcorporation.com/news/corp-press-releases/2026/fox-corporation-executives-to-discuss-fourth-quarter-and-full-fiscal-year-2026-financial-results-via-webcast/" TargetMode="External" /><Relationship Type="http://schemas.openxmlformats.org/officeDocument/2006/relationships/hyperlink" Id="rId20" Target="https://investor.foxcorporation.com/news/corp-press-releases/2026/fox-corporation-to-acquire-roku-inc/" TargetMode="External" /><Relationship Type="http://schemas.openxmlformats.org/officeDocument/2006/relationships/hyperlink" Id="rId12" Target="https://media.foxcorporation.com/earnings/FY26/q3.pdf" TargetMode="External" /><Relationship Type="http://schemas.openxmlformats.org/officeDocument/2006/relationships/hyperlink" Id="rId14" Target="https://media.investor.foxcorporation.com/wp-content/uploads/2026/05/14150827/FOX-FY2026-Q3-Earnings-Call-Transcript.pdf" TargetMode="External" /><Relationship Type="http://schemas.openxmlformats.org/officeDocument/2006/relationships/hyperlink" Id="rId11" Target="https://www.benzinga.com/quote/FOXA/earnings" TargetMode="External" /></Relationships>
</file>

<file path=word/_rels/footnotes.xml.rels><?xml version="1.0" encoding="UTF-8"?><Relationships xmlns="http://schemas.openxmlformats.org/package/2006/relationships"><Relationship Type="http://schemas.openxmlformats.org/officeDocument/2006/relationships/hyperlink" Id="rId21" Target="https://apnews.com/article/824089dbe16631fade634becdb164c94" TargetMode="External" /><Relationship Type="http://schemas.openxmlformats.org/officeDocument/2006/relationships/hyperlink" Id="rId9" Target="https://investor.foxcorporation.com/news/corp-press-releases/2026/fox-corporation-executives-to-discuss-fourth-quarter-and-full-fiscal-year-2026-financial-results-via-webcast/" TargetMode="External" /><Relationship Type="http://schemas.openxmlformats.org/officeDocument/2006/relationships/hyperlink" Id="rId20" Target="https://investor.foxcorporation.com/news/corp-press-releases/2026/fox-corporation-to-acquire-roku-inc/" TargetMode="External" /><Relationship Type="http://schemas.openxmlformats.org/officeDocument/2006/relationships/hyperlink" Id="rId12" Target="https://media.foxcorporation.com/earnings/FY26/q3.pdf" TargetMode="External" /><Relationship Type="http://schemas.openxmlformats.org/officeDocument/2006/relationships/hyperlink" Id="rId14" Target="https://media.investor.foxcorporation.com/wp-content/uploads/2026/05/14150827/FOX-FY2026-Q3-Earnings-Call-Transcript.pdf" TargetMode="External" /><Relationship Type="http://schemas.openxmlformats.org/officeDocument/2006/relationships/hyperlink" Id="rId11" Target="https://www.benzinga.com/quote/FOXA/earning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2026-08-06T00:15:57Z</dcterms:created>
  <dcterms:modified xsi:type="dcterms:W3CDTF">2026-08-06T00:15:57Z</dcterms:modified>
</cp:coreProperties>
</file>

<file path=docProps/custom.xml><?xml version="1.0" encoding="utf-8"?>
<Properties xmlns="http://schemas.openxmlformats.org/officeDocument/2006/custom-properties" xmlns:vt="http://schemas.openxmlformats.org/officeDocument/2006/docPropsVTypes"/>
</file>