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1e30aecae4a9766a36ef171ee86bc817086df3"/>
    <w:p>
      <w:pPr>
        <w:pStyle w:val="Heading1"/>
      </w:pPr>
      <w:r>
        <w:t xml:space="preserve">FOX (FOX/FOXA) Fiscal 2026 Q4 Earnings Preview</w:t>
      </w:r>
    </w:p>
    <w:p>
      <w:pPr>
        <w:pStyle w:val="BlockText"/>
      </w:pPr>
      <w:r>
        <w:rPr>
          <w:b/>
          <w:bCs/>
        </w:rPr>
        <w:t xml:space="preserve">Date clarification:</w:t>
      </w:r>
      <w:r>
        <w:t xml:space="preserve"> </w:t>
      </w:r>
      <w:r>
        <w:t xml:space="preserve">The event date provided—</w:t>
      </w:r>
      <w:r>
        <w:rPr>
          <w:b/>
          <w:bCs/>
        </w:rPr>
        <w:t xml:space="preserve">August 6, 2026</w:t>
      </w:r>
      <w:r>
        <w:t xml:space="preserve">—is</w:t>
      </w:r>
      <w:r>
        <w:t xml:space="preserve"> </w:t>
      </w:r>
      <w:r>
        <w:rPr>
          <w:b/>
          <w:bCs/>
        </w:rPr>
        <w:t xml:space="preserve">today</w:t>
      </w:r>
      <w:r>
        <w:t xml:space="preserve">, not tomorrow. This is therefore a same-day preview of FOX’s fiscal 2026 fourth-quarter and full-year report, for the quarter ended</w:t>
      </w:r>
      <w:r>
        <w:t xml:space="preserve"> </w:t>
      </w:r>
      <w:r>
        <w:rPr>
          <w:b/>
          <w:bCs/>
        </w:rPr>
        <w:t xml:space="preserve">June 30, 2026</w:t>
      </w:r>
      <w:r>
        <w:t xml:space="preserve">.</w:t>
      </w:r>
    </w:p>
    <w:bookmarkStart w:id="9" w:name="Xeebde4a8a2537d8653e9816dcee18b6c1361cdf"/>
    <w:p>
      <w:pPr>
        <w:pStyle w:val="Heading2"/>
      </w:pPr>
      <w:r>
        <w:t xml:space="preserve">Investment view: operating results matter, but Roku will dominate the discussion</w:t>
      </w:r>
    </w:p>
    <w:p>
      <w:pPr>
        <w:pStyle w:val="FirstParagraph"/>
      </w:pPr>
      <w:r>
        <w:t xml:space="preserve">FOX enters earnings with strong underlying operating momentum: resilient distribution revenue, healthy advertising trends excluding difficult sports-event comparisons, Tubi growth and improving profitability, and a substantial tailwind from the initial stages of the FIFA Men’s World Cup. Management also indicated in May that fiscal 2026 was positioned to deliver</w:t>
      </w:r>
      <w:r>
        <w:t xml:space="preserve"> </w:t>
      </w:r>
      <w:r>
        <w:rPr>
          <w:b/>
          <w:bCs/>
        </w:rPr>
        <w:t xml:space="preserve">record adjusted EBITDA</w:t>
      </w:r>
      <w:r>
        <w:t xml:space="preserve">.</w:t>
      </w:r>
    </w:p>
    <w:p>
      <w:pPr>
        <w:pStyle w:val="BodyText"/>
      </w:pPr>
      <w:r>
        <w:t xml:space="preserve">However, the stock’s near-term narrative is now primarily defined by the proposed Roku acquisition. Investors will likely treat the earnings release and call less as a pure quarterly scorecard and more as an opportunity to assess:</w:t>
      </w:r>
    </w:p>
    <w:p>
      <w:pPr>
        <w:pStyle w:val="Compact"/>
        <w:numPr>
          <w:ilvl w:val="0"/>
          <w:numId w:val="1001"/>
        </w:numPr>
      </w:pPr>
      <w:r>
        <w:t xml:space="preserve">Whether core FOX cash generation remains robust enough to support the transaction;</w:t>
      </w:r>
    </w:p>
    <w:p>
      <w:pPr>
        <w:pStyle w:val="Compact"/>
        <w:numPr>
          <w:ilvl w:val="0"/>
          <w:numId w:val="1001"/>
        </w:numPr>
      </w:pPr>
      <w:r>
        <w:t xml:space="preserve">Whether management can preserve capital returns while financing the deal;</w:t>
      </w:r>
    </w:p>
    <w:p>
      <w:pPr>
        <w:pStyle w:val="Compact"/>
        <w:numPr>
          <w:ilvl w:val="0"/>
          <w:numId w:val="1001"/>
        </w:numPr>
      </w:pPr>
      <w:r>
        <w:t xml:space="preserve">The timing, regulatory path, and integration risk of Roku; and</w:t>
      </w:r>
    </w:p>
    <w:p>
      <w:pPr>
        <w:pStyle w:val="Compact"/>
        <w:numPr>
          <w:ilvl w:val="0"/>
          <w:numId w:val="1001"/>
        </w:numPr>
      </w:pPr>
      <w:r>
        <w:t xml:space="preserve">Whether the combined company’s higher-growth streaming/CTV thesis justifies the added leverage and equity issuance.</w:t>
      </w:r>
    </w:p>
    <w:p>
      <w:pPr>
        <w:pStyle w:val="FirstParagraph"/>
      </w:pPr>
      <w:r>
        <w:rPr>
          <w:b/>
          <w:bCs/>
        </w:rPr>
        <w:t xml:space="preserve">Bottom line:</w:t>
      </w:r>
      <w:r>
        <w:t xml:space="preserve"> </w:t>
      </w:r>
      <w:r>
        <w:t xml:space="preserve">A clean quarter should reinforce that FOX is entering the Roku transaction from a position of operating strength. But an earnings beat alone may not be enough for the shares if management cannot provide incremental confidence on financing, approvals, pro forma leverage, or the path to realizing the promised synergies.</w:t>
      </w:r>
    </w:p>
    <w:p>
      <w:r>
        <w:pict>
          <v:rect style="width:0;height:1.5pt" o:hralign="center" o:hrstd="t" o:hr="t"/>
        </w:pict>
      </w:r>
    </w:p>
    <w:bookmarkEnd w:id="9"/>
    <w:bookmarkStart w:id="10" w:name="what-investors-should-focus-on"/>
    <w:p>
      <w:pPr>
        <w:pStyle w:val="Heading2"/>
      </w:pPr>
      <w:r>
        <w:t xml:space="preserve">What investors should focus 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Why it matters for this report</w:t>
            </w:r>
          </w:p>
        </w:tc>
        <w:tc>
          <w:tcPr/>
          <w:p>
            <w:pPr>
              <w:pStyle w:val="Compact"/>
            </w:pPr>
            <w:r>
              <w:t xml:space="preserve">What would be constructive</w:t>
            </w:r>
          </w:p>
        </w:tc>
      </w:tr>
      <w:tr>
        <w:tc>
          <w:tcPr/>
          <w:p>
            <w:pPr>
              <w:pStyle w:val="Compact"/>
            </w:pPr>
            <w:r>
              <w:rPr>
                <w:b/>
                <w:bCs/>
              </w:rPr>
              <w:t xml:space="preserve">FIFA World Cup monetization</w:t>
            </w:r>
          </w:p>
        </w:tc>
        <w:tc>
          <w:tcPr/>
          <w:p>
            <w:pPr>
              <w:pStyle w:val="Compact"/>
            </w:pPr>
            <w:r>
              <w:t xml:space="preserve">Q4 includes the first portion of the tournament; management previously characterized the financial impact as split roughly 50/50 between fiscal Q4 2026 and fiscal Q1 2027.</w:t>
            </w:r>
          </w:p>
        </w:tc>
        <w:tc>
          <w:tcPr/>
          <w:p>
            <w:pPr>
              <w:pStyle w:val="Compact"/>
            </w:pPr>
            <w:r>
              <w:t xml:space="preserve">Confirmation that the event was EBITDA-accretive at the consolidated level, with strong advertising sell-through and a favorable Q1 carryover.</w:t>
            </w:r>
          </w:p>
        </w:tc>
      </w:tr>
      <w:tr>
        <w:tc>
          <w:tcPr/>
          <w:p>
            <w:pPr>
              <w:pStyle w:val="Compact"/>
            </w:pPr>
            <w:r>
              <w:rPr>
                <w:b/>
                <w:bCs/>
              </w:rPr>
              <w:t xml:space="preserve">Advertising ex-event volatility</w:t>
            </w:r>
          </w:p>
        </w:tc>
        <w:tc>
          <w:tcPr/>
          <w:p>
            <w:pPr>
              <w:pStyle w:val="Compact"/>
            </w:pPr>
            <w:r>
              <w:t xml:space="preserve">Q3 ad revenue fell 24% because FOX lapped the prior-year Super Bowl, but management said advertising would have grown double digits excluding NFL postseason scheduling effects.</w:t>
            </w:r>
          </w:p>
        </w:tc>
        <w:tc>
          <w:tcPr/>
          <w:p>
            <w:pPr>
              <w:pStyle w:val="Compact"/>
            </w:pPr>
            <w:r>
              <w:t xml:space="preserve">Evidence that news pricing, scatter, local advertising and Tubi growth remained strong beyond World Cup-specific revenue.</w:t>
            </w:r>
          </w:p>
        </w:tc>
      </w:tr>
      <w:tr>
        <w:tc>
          <w:tcPr/>
          <w:p>
            <w:pPr>
              <w:pStyle w:val="Compact"/>
            </w:pPr>
            <w:r>
              <w:rPr>
                <w:b/>
                <w:bCs/>
              </w:rPr>
              <w:t xml:space="preserve">Tubi growth and profitability</w:t>
            </w:r>
          </w:p>
        </w:tc>
        <w:tc>
          <w:tcPr/>
          <w:p>
            <w:pPr>
              <w:pStyle w:val="Compact"/>
            </w:pPr>
            <w:r>
              <w:t xml:space="preserve">Tubi is FOX’s principal organic streaming asset and a strategic bridge to the Roku rationale. Revenue grew 23% in Q3, while viewing time grew 19%.</w:t>
            </w:r>
          </w:p>
        </w:tc>
        <w:tc>
          <w:tcPr/>
          <w:p>
            <w:pPr>
              <w:pStyle w:val="Compact"/>
            </w:pPr>
            <w:r>
              <w:t xml:space="preserve">Continued double-digit revenue growth, evidence of operating leverage, and restrained content/marketing investment.</w:t>
            </w:r>
          </w:p>
        </w:tc>
      </w:tr>
      <w:tr>
        <w:tc>
          <w:tcPr/>
          <w:p>
            <w:pPr>
              <w:pStyle w:val="Compact"/>
            </w:pPr>
            <w:r>
              <w:rPr>
                <w:b/>
                <w:bCs/>
              </w:rPr>
              <w:t xml:space="preserve">FOX One traction</w:t>
            </w:r>
          </w:p>
        </w:tc>
        <w:tc>
          <w:tcPr/>
          <w:p>
            <w:pPr>
              <w:pStyle w:val="Compact"/>
            </w:pPr>
            <w:r>
              <w:t xml:space="preserve">FOX One has the potential to mitigate linear subscriber erosion and strengthen direct consumer relationships.</w:t>
            </w:r>
          </w:p>
        </w:tc>
        <w:tc>
          <w:tcPr/>
          <w:p>
            <w:pPr>
              <w:pStyle w:val="Compact"/>
            </w:pPr>
            <w:r>
              <w:t xml:space="preserve">Subscriber retention and churn commentary that supports management’s earlier assertion that FOX One additions are incremental rather than merely cannibalistic.</w:t>
            </w:r>
          </w:p>
        </w:tc>
      </w:tr>
      <w:tr>
        <w:tc>
          <w:tcPr/>
          <w:p>
            <w:pPr>
              <w:pStyle w:val="Compact"/>
            </w:pPr>
            <w:r>
              <w:rPr>
                <w:b/>
                <w:bCs/>
              </w:rPr>
              <w:t xml:space="preserve">Distribution revenue</w:t>
            </w:r>
          </w:p>
        </w:tc>
        <w:tc>
          <w:tcPr/>
          <w:p>
            <w:pPr>
              <w:pStyle w:val="Compact"/>
            </w:pPr>
            <w:r>
              <w:t xml:space="preserve">Distribution is the company’s most stable earnings stream and a key offset to secular pay-TV erosion.</w:t>
            </w:r>
          </w:p>
        </w:tc>
        <w:tc>
          <w:tcPr/>
          <w:p>
            <w:pPr>
              <w:pStyle w:val="Compact"/>
            </w:pPr>
            <w:r>
              <w:t xml:space="preserve">Cable pricing continuing to outpace subscriber losses; affirmation that Television distribution can return to growth in fiscal 2027.</w:t>
            </w:r>
          </w:p>
        </w:tc>
      </w:tr>
      <w:tr>
        <w:tc>
          <w:tcPr/>
          <w:p>
            <w:pPr>
              <w:pStyle w:val="Compact"/>
            </w:pPr>
            <w:r>
              <w:rPr>
                <w:b/>
                <w:bCs/>
              </w:rPr>
              <w:t xml:space="preserve">Roku transaction execution</w:t>
            </w:r>
          </w:p>
        </w:tc>
        <w:tc>
          <w:tcPr/>
          <w:p>
            <w:pPr>
              <w:pStyle w:val="Compact"/>
            </w:pPr>
            <w:r>
              <w:t xml:space="preserve">The acquisition changes FOX’s leverage, share count, strategic profile and capital-return debate.</w:t>
            </w:r>
          </w:p>
        </w:tc>
        <w:tc>
          <w:tcPr/>
          <w:p>
            <w:pPr>
              <w:pStyle w:val="Compact"/>
            </w:pPr>
            <w:r>
              <w:t xml:space="preserve">Clearer commentary on regulatory process, S-4 timing, committed financing, integration planning and confidence in synergy targets.</w:t>
            </w:r>
          </w:p>
        </w:tc>
      </w:tr>
    </w:tbl>
    <w:p>
      <w:r>
        <w:pict>
          <v:rect style="width:0;height:1.5pt" o:hralign="center" o:hrstd="t" o:hr="t"/>
        </w:pict>
      </w:r>
    </w:p>
    <w:bookmarkEnd w:id="10"/>
    <w:bookmarkStart w:id="12" w:name="X733f57996f6610192f3ac4a5e8a73b1c350fbf5"/>
    <w:p>
      <w:pPr>
        <w:pStyle w:val="Heading2"/>
      </w:pPr>
      <w:r>
        <w:t xml:space="preserve">The operating setup: a relatively low bar to a record EBITDA year</w:t>
      </w:r>
    </w:p>
    <w:p>
      <w:pPr>
        <w:pStyle w:val="FirstParagraph"/>
      </w:pPr>
      <w:r>
        <w:t xml:space="preserve">FOX generated</w:t>
      </w:r>
      <w:r>
        <w:t xml:space="preserve"> </w:t>
      </w:r>
      <m:oMath>
        <m:r>
          <m:t>2.711</m:t>
        </m:r>
        <m:r>
          <m:t>b</m:t>
        </m:r>
        <m:r>
          <m:t>i</m:t>
        </m:r>
        <m:r>
          <m:t>l</m:t>
        </m:r>
        <m:r>
          <m:t>l</m:t>
        </m:r>
        <m:r>
          <m:t>i</m:t>
        </m:r>
        <m:r>
          <m:t>o</m:t>
        </m:r>
        <m:r>
          <m:t>n</m:t>
        </m:r>
        <m:r>
          <m:rPr>
            <m:sty m:val="p"/>
          </m:rPr>
          <m:t>*</m:t>
        </m:r>
        <m:r>
          <m:rPr>
            <m:sty m:val="p"/>
          </m:rPr>
          <m:t>*</m:t>
        </m:r>
        <m:r>
          <m:t>o</m:t>
        </m:r>
        <m:r>
          <m:t>f</m:t>
        </m:r>
        <m:r>
          <m:t>a</m:t>
        </m:r>
        <m:r>
          <m:t>d</m:t>
        </m:r>
        <m:r>
          <m:t>j</m:t>
        </m:r>
        <m:r>
          <m:t>u</m:t>
        </m:r>
        <m:r>
          <m:t>s</m:t>
        </m:r>
        <m:r>
          <m:t>t</m:t>
        </m:r>
        <m:r>
          <m:t>e</m:t>
        </m:r>
        <m:r>
          <m:t>d</m:t>
        </m:r>
        <m:r>
          <m:t>E</m:t>
        </m:r>
        <m:r>
          <m:t>B</m:t>
        </m:r>
        <m:r>
          <m:t>I</m:t>
        </m:r>
        <m:r>
          <m:t>T</m:t>
        </m:r>
        <m:r>
          <m:t>D</m:t>
        </m:r>
        <m:r>
          <m:t>A</m:t>
        </m:r>
        <m:r>
          <m:t>t</m:t>
        </m:r>
        <m:r>
          <m:t>h</m:t>
        </m:r>
        <m:r>
          <m:t>r</m:t>
        </m:r>
        <m:r>
          <m:t>o</m:t>
        </m:r>
        <m:r>
          <m:t>u</m:t>
        </m:r>
        <m:r>
          <m:t>g</m:t>
        </m:r>
        <m:r>
          <m:t>h</m:t>
        </m:r>
        <m:r>
          <m:t>t</m:t>
        </m:r>
        <m:r>
          <m:t>h</m:t>
        </m:r>
        <m:r>
          <m:t>e</m:t>
        </m:r>
        <m:r>
          <m:t>f</m:t>
        </m:r>
        <m:r>
          <m:t>i</m:t>
        </m:r>
        <m:r>
          <m:t>r</m:t>
        </m:r>
        <m:r>
          <m:t>s</m:t>
        </m:r>
        <m:r>
          <m:t>t</m:t>
        </m:r>
        <m:r>
          <m:t>n</m:t>
        </m:r>
        <m:r>
          <m:t>i</m:t>
        </m:r>
        <m:r>
          <m:t>n</m:t>
        </m:r>
        <m:r>
          <m:t>e</m:t>
        </m:r>
        <m:r>
          <m:t>m</m:t>
        </m:r>
        <m:r>
          <m:t>o</m:t>
        </m:r>
        <m:r>
          <m:t>n</m:t>
        </m:r>
        <m:r>
          <m:t>t</m:t>
        </m:r>
        <m:r>
          <m:t>h</m:t>
        </m:r>
        <m:r>
          <m:t>s</m:t>
        </m:r>
        <m:r>
          <m:t>o</m:t>
        </m:r>
        <m:r>
          <m:t>f</m:t>
        </m:r>
        <m:r>
          <m:t>f</m:t>
        </m:r>
        <m:r>
          <m:t>i</m:t>
        </m:r>
        <m:r>
          <m:t>s</m:t>
        </m:r>
        <m:r>
          <m:t>c</m:t>
        </m:r>
        <m:r>
          <m:t>a</m:t>
        </m:r>
        <m:r>
          <m:t>l</m:t>
        </m:r>
        <m:r>
          <m:t>2026</m:t>
        </m:r>
        <m:r>
          <m:rPr>
            <m:sty m:val="p"/>
          </m:rPr>
          <m:t>,</m:t>
        </m:r>
        <m:r>
          <m:t>v</m:t>
        </m:r>
        <m:r>
          <m:t>e</m:t>
        </m:r>
        <m:r>
          <m:t>r</m:t>
        </m:r>
        <m:r>
          <m:t>s</m:t>
        </m:r>
        <m:r>
          <m:t>u</m:t>
        </m:r>
        <m:r>
          <m:t>s</m:t>
        </m:r>
        <m:r>
          <m:rPr>
            <m:sty m:val="p"/>
          </m:rPr>
          <m:t>*</m:t>
        </m:r>
        <m:r>
          <m:rPr>
            <m:sty m:val="p"/>
          </m:rPr>
          <m:t>*</m:t>
        </m:r>
      </m:oMath>
      <w:r>
        <w:rPr>
          <w:b/>
          <w:bCs/>
        </w:rPr>
        <w:t xml:space="preserve">2.685 billion</w:t>
      </w:r>
      <w:r>
        <w:t xml:space="preserve"> </w:t>
      </w:r>
      <w:r>
        <w:t xml:space="preserve">in the prior-year period. Fiscal 2025 adjusted EBITDA was a record</w:t>
      </w:r>
      <w:r>
        <w:t xml:space="preserve"> </w:t>
      </w:r>
      <w:r>
        <w:rPr>
          <w:b/>
          <w:bCs/>
        </w:rPr>
        <w:t xml:space="preserve">$3.624 billion</w:t>
      </w:r>
      <w:r>
        <w:t xml:space="preserve">.</w:t>
      </w:r>
    </w:p>
    <w:p>
      <w:pPr>
        <w:pStyle w:val="BodyText"/>
      </w:pPr>
      <w:r>
        <w:t xml:space="preserve">That means FOX needs approximately</w:t>
      </w:r>
      <w:r>
        <w:t xml:space="preserve"> </w:t>
      </w:r>
      <w:r>
        <w:rPr>
          <w:b/>
          <w:bCs/>
        </w:rPr>
        <w:t xml:space="preserve">$913 million</w:t>
      </w:r>
      <w:r>
        <w:t xml:space="preserve"> </w:t>
      </w:r>
      <w:r>
        <w:t xml:space="preserve">of fiscal Q4 adjusted EBITDA to exceed last year’s full-year record—about</w:t>
      </w:r>
      <w:r>
        <w:t xml:space="preserve"> </w:t>
      </w:r>
      <w:r>
        <w:rPr>
          <w:b/>
          <w:bCs/>
        </w:rPr>
        <w:t xml:space="preserve">3% below</w:t>
      </w:r>
      <w:r>
        <w:t xml:space="preserve"> </w:t>
      </w:r>
      <w:r>
        <w:t xml:space="preserve">the $939 million it produced in fiscal Q4 2025.</w:t>
      </w:r>
    </w:p>
    <w:p>
      <w:pPr>
        <w:pStyle w:val="BodyText"/>
      </w:pPr>
      <w:r>
        <w:t xml:space="preserve">This is a favorable setup, particularly because management explicitly said in May that it expected the World Cup to be</w:t>
      </w:r>
      <w:r>
        <w:t xml:space="preserve"> </w:t>
      </w:r>
      <w:r>
        <w:rPr>
          <w:b/>
          <w:bCs/>
        </w:rPr>
        <w:t xml:space="preserve">accretive to consolidated EBITDA</w:t>
      </w:r>
      <w:r>
        <w:t xml:space="preserve">, with the economics weighted toward the Television segment. The important nuance is that the World Cup is not expected to be equally profitable in every segment: management previously described the broadcast/Television contribution as revenue- and EBITDA-positive, while the cable-network side was expected to carry less revenue and potentially not be EBITDA-accretive.</w:t>
      </w:r>
    </w:p>
    <w:bookmarkStart w:id="11" w:name="key-comparison-issue"/>
    <w:p>
      <w:pPr>
        <w:pStyle w:val="Heading3"/>
      </w:pPr>
      <w:r>
        <w:t xml:space="preserve">Key comparison issue</w:t>
      </w:r>
    </w:p>
    <w:p>
      <w:pPr>
        <w:pStyle w:val="FirstParagraph"/>
      </w:pPr>
      <w:r>
        <w:t xml:space="preserve">The year-over-year comparison will remain event-distorted:</w:t>
      </w:r>
    </w:p>
    <w:p>
      <w:pPr>
        <w:pStyle w:val="Compact"/>
        <w:numPr>
          <w:ilvl w:val="0"/>
          <w:numId w:val="1002"/>
        </w:numPr>
      </w:pPr>
      <w:r>
        <w:rPr>
          <w:b/>
          <w:bCs/>
        </w:rPr>
        <w:t xml:space="preserve">Fiscal Q4 2025:</w:t>
      </w:r>
      <w:r>
        <w:t xml:space="preserve"> </w:t>
      </w:r>
      <w:r>
        <w:t xml:space="preserve">Advertising benefited from Tubi growth and strong FOX News pricing, while the comparison included the absence of prior-year UEFA European Championship and Copa América broadcasts.</w:t>
      </w:r>
    </w:p>
    <w:p>
      <w:pPr>
        <w:pStyle w:val="Compact"/>
        <w:numPr>
          <w:ilvl w:val="0"/>
          <w:numId w:val="1002"/>
        </w:numPr>
      </w:pPr>
      <w:r>
        <w:rPr>
          <w:b/>
          <w:bCs/>
        </w:rPr>
        <w:t xml:space="preserve">Fiscal Q4 2026:</w:t>
      </w:r>
      <w:r>
        <w:t xml:space="preserve"> </w:t>
      </w:r>
      <w:r>
        <w:t xml:space="preserve">The World Cup should be the major sports catalyst, but only the early portion falls in the June quarter; the balance rolls into fiscal Q1 2027.</w:t>
      </w:r>
    </w:p>
    <w:p>
      <w:pPr>
        <w:pStyle w:val="FirstParagraph"/>
      </w:pPr>
      <w:r>
        <w:t xml:space="preserve">Therefore, investors should prioritize</w:t>
      </w:r>
      <w:r>
        <w:t xml:space="preserve"> </w:t>
      </w:r>
      <w:r>
        <w:rPr>
          <w:b/>
          <w:bCs/>
        </w:rPr>
        <w:t xml:space="preserve">underlying ad growth excluding major sports-event timing</w:t>
      </w:r>
      <w:r>
        <w:t xml:space="preserve">, rather than headline advertising growth alone.</w:t>
      </w:r>
    </w:p>
    <w:p>
      <w:r>
        <w:pict>
          <v:rect style="width:0;height:1.5pt" o:hralign="center" o:hrstd="t" o:hr="t"/>
        </w:pict>
      </w:r>
    </w:p>
    <w:bookmarkEnd w:id="11"/>
    <w:bookmarkEnd w:id="12"/>
    <w:bookmarkStart w:id="13" w:name="Xd4d5517ca747c55cc5f523b0defb665c36ed1d7"/>
    <w:p>
      <w:pPr>
        <w:pStyle w:val="Heading2"/>
      </w:pPr>
      <w:r>
        <w:t xml:space="preserve">Advertising: the core read-through may matter more than the reported number</w:t>
      </w:r>
    </w:p>
    <w:p>
      <w:pPr>
        <w:pStyle w:val="FirstParagraph"/>
      </w:pPr>
      <w:r>
        <w:t xml:space="preserve">In fiscal Q3, FOX’s reported advertising revenue declined because it lapped the prior-year Super Bowl, which had generated more than $800 million of gross advertising revenue. Yet management said that, excluding the Super Bowl and other NFL-postseason scheduling effects, company advertising would have grown</w:t>
      </w:r>
      <w:r>
        <w:t xml:space="preserve"> </w:t>
      </w:r>
      <w:r>
        <w:rPr>
          <w:b/>
          <w:bCs/>
        </w:rPr>
        <w:t xml:space="preserve">double digits</w:t>
      </w:r>
      <w:r>
        <w:t xml:space="preserve">.</w:t>
      </w:r>
    </w:p>
    <w:p>
      <w:pPr>
        <w:pStyle w:val="BodyText"/>
      </w:pPr>
      <w:r>
        <w:t xml:space="preserve">The key question for Q4 is whether that momentum held up across:</w:t>
      </w:r>
    </w:p>
    <w:p>
      <w:pPr>
        <w:pStyle w:val="Compact"/>
        <w:numPr>
          <w:ilvl w:val="0"/>
          <w:numId w:val="1003"/>
        </w:numPr>
      </w:pPr>
      <w:r>
        <w:rPr>
          <w:b/>
          <w:bCs/>
        </w:rPr>
        <w:t xml:space="preserve">FOX News:</w:t>
      </w:r>
      <w:r>
        <w:t xml:space="preserve"> </w:t>
      </w:r>
      <w:r>
        <w:t xml:space="preserve">Management cited record fiscal Q3 advertising revenue, higher national pricing, and materially improved CPMs.</w:t>
      </w:r>
    </w:p>
    <w:p>
      <w:pPr>
        <w:pStyle w:val="Compact"/>
        <w:numPr>
          <w:ilvl w:val="0"/>
          <w:numId w:val="1003"/>
        </w:numPr>
      </w:pPr>
      <w:r>
        <w:rPr>
          <w:b/>
          <w:bCs/>
        </w:rPr>
        <w:t xml:space="preserve">Local stations:</w:t>
      </w:r>
      <w:r>
        <w:t xml:space="preserve"> </w:t>
      </w:r>
      <w:r>
        <w:t xml:space="preserve">Political advertising should begin to build ahead of the 2026 midterm cycle, although the most meaningful contribution is likely still ahead.</w:t>
      </w:r>
    </w:p>
    <w:p>
      <w:pPr>
        <w:pStyle w:val="Compact"/>
        <w:numPr>
          <w:ilvl w:val="0"/>
          <w:numId w:val="1003"/>
        </w:numPr>
      </w:pPr>
      <w:r>
        <w:rPr>
          <w:b/>
          <w:bCs/>
        </w:rPr>
        <w:t xml:space="preserve">Sports:</w:t>
      </w:r>
      <w:r>
        <w:t xml:space="preserve"> </w:t>
      </w:r>
      <w:r>
        <w:t xml:space="preserve">World Cup sell-through, pricing and sponsorship intensity will frame the near-term outlook.</w:t>
      </w:r>
    </w:p>
    <w:p>
      <w:pPr>
        <w:pStyle w:val="Compact"/>
        <w:numPr>
          <w:ilvl w:val="0"/>
          <w:numId w:val="1003"/>
        </w:numPr>
      </w:pPr>
      <w:r>
        <w:rPr>
          <w:b/>
          <w:bCs/>
        </w:rPr>
        <w:t xml:space="preserve">Tubi:</w:t>
      </w:r>
      <w:r>
        <w:t xml:space="preserve"> </w:t>
      </w:r>
      <w:r>
        <w:t xml:space="preserve">Continued AVOD growth is essential to demonstrating that FOX can grow digital advertising even as linear viewing fragments.</w:t>
      </w:r>
    </w:p>
    <w:p>
      <w:pPr>
        <w:pStyle w:val="Compact"/>
        <w:numPr>
          <w:ilvl w:val="0"/>
          <w:numId w:val="1003"/>
        </w:numPr>
      </w:pPr>
      <w:r>
        <w:rPr>
          <w:b/>
          <w:bCs/>
        </w:rPr>
        <w:t xml:space="preserve">Entertainment and scatter:</w:t>
      </w:r>
      <w:r>
        <w:t xml:space="preserve"> </w:t>
      </w:r>
      <w:r>
        <w:t xml:space="preserve">FOX previously characterized the market as healthy, with low option take-up, minimal cancellations and favorable scatter pricing.</w:t>
      </w:r>
    </w:p>
    <w:p>
      <w:pPr>
        <w:pStyle w:val="FirstParagraph"/>
      </w:pPr>
      <w:r>
        <w:t xml:space="preserve">A positive earnings outcome would feature management reaffirming that the advertising environment is healthy</w:t>
      </w:r>
      <w:r>
        <w:t xml:space="preserve"> </w:t>
      </w:r>
      <w:r>
        <w:rPr>
          <w:b/>
          <w:bCs/>
        </w:rPr>
        <w:t xml:space="preserve">after normalizing for sports-event timing</w:t>
      </w:r>
      <w:r>
        <w:t xml:space="preserve"> </w:t>
      </w:r>
      <w:r>
        <w:t xml:space="preserve">and that political revenue is already beginning to contribute.</w:t>
      </w:r>
    </w:p>
    <w:p>
      <w:r>
        <w:pict>
          <v:rect style="width:0;height:1.5pt" o:hralign="center" o:hrstd="t" o:hr="t"/>
        </w:pict>
      </w:r>
    </w:p>
    <w:bookmarkEnd w:id="13"/>
    <w:bookmarkStart w:id="16" w:name="Xf9a3d2b0be7c60b8bfe8464a004a66514459a3d"/>
    <w:p>
      <w:pPr>
        <w:pStyle w:val="Heading2"/>
      </w:pPr>
      <w:r>
        <w:t xml:space="preserve">Tubi and FOX One: the organic digital proof points</w:t>
      </w:r>
    </w:p>
    <w:bookmarkStart w:id="14" w:name="tubi"/>
    <w:p>
      <w:pPr>
        <w:pStyle w:val="Heading3"/>
      </w:pPr>
      <w:r>
        <w:t xml:space="preserve">Tubi</w:t>
      </w:r>
    </w:p>
    <w:p>
      <w:pPr>
        <w:pStyle w:val="FirstParagraph"/>
      </w:pPr>
      <w:r>
        <w:t xml:space="preserve">Tubi remains central to FOX’s standalone growth case and to its rationale for acquiring Roku. In Q3:</w:t>
      </w:r>
    </w:p>
    <w:p>
      <w:pPr>
        <w:pStyle w:val="Compact"/>
        <w:numPr>
          <w:ilvl w:val="0"/>
          <w:numId w:val="1004"/>
        </w:numPr>
      </w:pPr>
      <w:r>
        <w:t xml:space="preserve">Tubi revenue grew</w:t>
      </w:r>
      <w:r>
        <w:t xml:space="preserve"> </w:t>
      </w:r>
      <w:r>
        <w:rPr>
          <w:b/>
          <w:bCs/>
        </w:rPr>
        <w:t xml:space="preserve">23%</w:t>
      </w:r>
      <w:r>
        <w:t xml:space="preserve"> </w:t>
      </w:r>
      <w:r>
        <w:t xml:space="preserve">year over year;</w:t>
      </w:r>
    </w:p>
    <w:p>
      <w:pPr>
        <w:pStyle w:val="Compact"/>
        <w:numPr>
          <w:ilvl w:val="0"/>
          <w:numId w:val="1004"/>
        </w:numPr>
      </w:pPr>
      <w:r>
        <w:t xml:space="preserve">Total viewing time rose</w:t>
      </w:r>
      <w:r>
        <w:t xml:space="preserve"> </w:t>
      </w:r>
      <w:r>
        <w:rPr>
          <w:b/>
          <w:bCs/>
        </w:rPr>
        <w:t xml:space="preserve">19%</w:t>
      </w:r>
      <w:r>
        <w:t xml:space="preserve">;</w:t>
      </w:r>
    </w:p>
    <w:p>
      <w:pPr>
        <w:pStyle w:val="Compact"/>
        <w:numPr>
          <w:ilvl w:val="0"/>
          <w:numId w:val="1004"/>
        </w:numPr>
      </w:pPr>
      <w:r>
        <w:t xml:space="preserve">FOX said Tubi had nearly</w:t>
      </w:r>
      <w:r>
        <w:t xml:space="preserve"> </w:t>
      </w:r>
      <w:r>
        <w:rPr>
          <w:b/>
          <w:bCs/>
        </w:rPr>
        <w:t xml:space="preserve">100 million monthly active users</w:t>
      </w:r>
      <w:r>
        <w:t xml:space="preserve">; and</w:t>
      </w:r>
    </w:p>
    <w:p>
      <w:pPr>
        <w:pStyle w:val="Compact"/>
        <w:numPr>
          <w:ilvl w:val="0"/>
          <w:numId w:val="1004"/>
        </w:numPr>
      </w:pPr>
      <w:r>
        <w:t xml:space="preserve">Management said Tubi was breakeven or better for the third consecutive quarter.</w:t>
      </w:r>
    </w:p>
    <w:p>
      <w:pPr>
        <w:pStyle w:val="FirstParagraph"/>
      </w:pPr>
      <w:r>
        <w:t xml:space="preserve">For Q4, investors should look for confirmation that revenue remains ahead of engagement growth, which would imply continued monetization improvement. Just as important, management had expected fiscal 2026 net digital investment to come in comfortably below the approximately</w:t>
      </w:r>
      <w:r>
        <w:t xml:space="preserve"> </w:t>
      </w:r>
      <w:r>
        <w:rPr>
          <w:b/>
          <w:bCs/>
        </w:rPr>
        <w:t xml:space="preserve">$290 million</w:t>
      </w:r>
      <w:r>
        <w:t xml:space="preserve"> </w:t>
      </w:r>
      <w:r>
        <w:t xml:space="preserve">invested in fiscal 2025. Maintaining that discipline would strengthen the case that FOX can scale streaming without sacrificing cash returns.</w:t>
      </w:r>
    </w:p>
    <w:bookmarkEnd w:id="14"/>
    <w:bookmarkStart w:id="15" w:name="fox-one"/>
    <w:p>
      <w:pPr>
        <w:pStyle w:val="Heading3"/>
      </w:pPr>
      <w:r>
        <w:t xml:space="preserve">FOX One</w:t>
      </w:r>
    </w:p>
    <w:p>
      <w:pPr>
        <w:pStyle w:val="FirstParagraph"/>
      </w:pPr>
      <w:r>
        <w:t xml:space="preserve">FOX One’s strategic importance may be greater than its current earnings contribution. In Q3, management said:</w:t>
      </w:r>
    </w:p>
    <w:p>
      <w:pPr>
        <w:pStyle w:val="Compact"/>
        <w:numPr>
          <w:ilvl w:val="0"/>
          <w:numId w:val="1005"/>
        </w:numPr>
      </w:pPr>
      <w:r>
        <w:t xml:space="preserve">Subscriber additions were additive to the broader distribution ecosystem;</w:t>
      </w:r>
    </w:p>
    <w:p>
      <w:pPr>
        <w:pStyle w:val="Compact"/>
        <w:numPr>
          <w:ilvl w:val="0"/>
          <w:numId w:val="1005"/>
        </w:numPr>
      </w:pPr>
      <w:r>
        <w:t xml:space="preserve">Retention exceeded expectations;</w:t>
      </w:r>
    </w:p>
    <w:p>
      <w:pPr>
        <w:pStyle w:val="Compact"/>
        <w:numPr>
          <w:ilvl w:val="0"/>
          <w:numId w:val="1005"/>
        </w:numPr>
      </w:pPr>
      <w:r>
        <w:t xml:space="preserve">Churn had been lower than anticipated;</w:t>
      </w:r>
    </w:p>
    <w:p>
      <w:pPr>
        <w:pStyle w:val="Compact"/>
        <w:numPr>
          <w:ilvl w:val="0"/>
          <w:numId w:val="1005"/>
        </w:numPr>
      </w:pPr>
      <w:r>
        <w:t xml:space="preserve">More than half of FOX One viewing was news-related; and</w:t>
      </w:r>
    </w:p>
    <w:p>
      <w:pPr>
        <w:pStyle w:val="Compact"/>
        <w:numPr>
          <w:ilvl w:val="0"/>
          <w:numId w:val="1005"/>
        </w:numPr>
      </w:pPr>
      <w:r>
        <w:t xml:space="preserve">FOX One was a meaningful positive contributor to Cable Network distribution trends.</w:t>
      </w:r>
    </w:p>
    <w:p>
      <w:pPr>
        <w:pStyle w:val="FirstParagraph"/>
      </w:pPr>
      <w:r>
        <w:t xml:space="preserve">The earnings call should clarify whether World Cup availability drove a material subscriber bump, whether those users are retained after the event, and how FOX expects FOX One to affect fiscal 2027 distribution revenue.</w:t>
      </w:r>
    </w:p>
    <w:p>
      <w:r>
        <w:pict>
          <v:rect style="width:0;height:1.5pt" o:hralign="center" o:hrstd="t" o:hr="t"/>
        </w:pict>
      </w:r>
    </w:p>
    <w:bookmarkEnd w:id="15"/>
    <w:bookmarkEnd w:id="16"/>
    <w:bookmarkStart w:id="19" w:name="X2334c6d667806d7fb0d53e06b5189e1bcf1e0f4"/>
    <w:p>
      <w:pPr>
        <w:pStyle w:val="Heading2"/>
      </w:pPr>
      <w:r>
        <w:t xml:space="preserve">Roku acquisition: the report’s most consequential non-quarterly issue</w:t>
      </w:r>
    </w:p>
    <w:p>
      <w:pPr>
        <w:pStyle w:val="FirstParagraph"/>
      </w:pPr>
      <w:r>
        <w:t xml:space="preserve">FOX announced its acquisition of Roku on</w:t>
      </w:r>
      <w:r>
        <w:t xml:space="preserve"> </w:t>
      </w:r>
      <w:r>
        <w:rPr>
          <w:b/>
          <w:bCs/>
        </w:rPr>
        <w:t xml:space="preserve">June 15, 2026</w:t>
      </w:r>
      <w:r>
        <w:t xml:space="preserve">. The transaction values Roku at</w:t>
      </w:r>
      <w:r>
        <w:t xml:space="preserve"> </w:t>
      </w:r>
      <m:oMath>
        <m:r>
          <m:t>160</m:t>
        </m:r>
        <m:r>
          <m:t>p</m:t>
        </m:r>
        <m:r>
          <m:t>e</m:t>
        </m:r>
        <m:r>
          <m:t>r</m:t>
        </m:r>
        <m:r>
          <m:t>s</m:t>
        </m:r>
        <m:r>
          <m:t>h</m:t>
        </m:r>
        <m:r>
          <m:t>a</m:t>
        </m:r>
        <m:r>
          <m:t>r</m:t>
        </m:r>
        <m:r>
          <m:t>e</m:t>
        </m:r>
        <m:r>
          <m:rPr>
            <m:sty m:val="p"/>
          </m:rPr>
          <m:t>*</m:t>
        </m:r>
        <m:r>
          <m:rPr>
            <m:sty m:val="p"/>
          </m:rPr>
          <m:t>*</m:t>
        </m:r>
        <m:r>
          <m:rPr>
            <m:sty m:val="p"/>
          </m:rPr>
          <m:t>,</m:t>
        </m:r>
        <m:r>
          <m:t>c</m:t>
        </m:r>
        <m:r>
          <m:t>o</m:t>
        </m:r>
        <m:r>
          <m:t>n</m:t>
        </m:r>
        <m:r>
          <m:t>s</m:t>
        </m:r>
        <m:r>
          <m:t>i</m:t>
        </m:r>
        <m:r>
          <m:t>s</m:t>
        </m:r>
        <m:r>
          <m:t>t</m:t>
        </m:r>
        <m:r>
          <m:t>i</m:t>
        </m:r>
        <m:r>
          <m:t>n</m:t>
        </m:r>
        <m:r>
          <m:t>g</m:t>
        </m:r>
        <m:r>
          <m:t>o</m:t>
        </m:r>
        <m:r>
          <m:t>f</m:t>
        </m:r>
        <m:r>
          <m:rPr>
            <m:sty m:val="p"/>
          </m:rPr>
          <m:t>*</m:t>
        </m:r>
        <m:r>
          <m:rPr>
            <m:sty m:val="p"/>
          </m:rPr>
          <m:t>*</m:t>
        </m:r>
      </m:oMath>
      <w:r>
        <w:rPr>
          <w:b/>
          <w:bCs/>
        </w:rPr>
        <w:t xml:space="preserve">96 in cash plus 0.9693 FOX Class A shares</w:t>
      </w:r>
      <w:r>
        <w:t xml:space="preserve"> </w:t>
      </w:r>
      <w:r>
        <w:t xml:space="preserve">for each Roku share.</w:t>
      </w:r>
    </w:p>
    <w:bookmarkStart w:id="17" w:name="stated-transaction-framework"/>
    <w:p>
      <w:pPr>
        <w:pStyle w:val="Heading3"/>
      </w:pPr>
      <w:r>
        <w:t xml:space="preserve">Stated transaction framework</w:t>
      </w:r>
    </w:p>
    <w:p>
      <w:pPr>
        <w:pStyle w:val="Compact"/>
        <w:numPr>
          <w:ilvl w:val="0"/>
          <w:numId w:val="1006"/>
        </w:numPr>
      </w:pPr>
      <w:r>
        <w:t xml:space="preserve">Approximately</w:t>
      </w:r>
      <w:r>
        <w:t xml:space="preserve"> </w:t>
      </w:r>
      <m:oMath>
        <m:r>
          <m:t>25</m:t>
        </m:r>
        <m:r>
          <m:t>b</m:t>
        </m:r>
        <m:r>
          <m:t>i</m:t>
        </m:r>
        <m:r>
          <m:t>l</m:t>
        </m:r>
        <m:r>
          <m:t>l</m:t>
        </m:r>
        <m:r>
          <m:t>i</m:t>
        </m:r>
        <m:r>
          <m:t>o</m:t>
        </m:r>
        <m:r>
          <m:t>n</m:t>
        </m:r>
        <m:r>
          <m:t>e</m:t>
        </m:r>
        <m:r>
          <m:t>q</m:t>
        </m:r>
        <m:r>
          <m:t>u</m:t>
        </m:r>
        <m:r>
          <m:t>i</m:t>
        </m:r>
        <m:r>
          <m:t>t</m:t>
        </m:r>
        <m:r>
          <m:t>y</m:t>
        </m:r>
        <m:r>
          <m:t>v</m:t>
        </m:r>
        <m:r>
          <m:t>a</m:t>
        </m:r>
        <m:r>
          <m:t>l</m:t>
        </m:r>
        <m:r>
          <m:t>u</m:t>
        </m:r>
        <m:r>
          <m:t>e</m:t>
        </m:r>
        <m:r>
          <m:rPr>
            <m:sty m:val="p"/>
          </m:rPr>
          <m:t>*</m:t>
        </m:r>
        <m:r>
          <m:rPr>
            <m:sty m:val="p"/>
          </m:rPr>
          <m:t>*</m:t>
        </m:r>
        <m:r>
          <m:t>a</m:t>
        </m:r>
        <m:r>
          <m:t>n</m:t>
        </m:r>
        <m:r>
          <m:t>d</m:t>
        </m:r>
        <m:r>
          <m:rPr>
            <m:sty m:val="p"/>
          </m:rPr>
          <m:t>*</m:t>
        </m:r>
        <m:r>
          <m:rPr>
            <m:sty m:val="p"/>
          </m:rPr>
          <m:t>*</m:t>
        </m:r>
      </m:oMath>
      <w:r>
        <w:rPr>
          <w:b/>
          <w:bCs/>
        </w:rPr>
        <w:t xml:space="preserve">22 billion enterprise value</w:t>
      </w:r>
      <w:r>
        <w:t xml:space="preserve"> </w:t>
      </w:r>
      <w:r>
        <w:t xml:space="preserve">for Roku;</w:t>
      </w:r>
    </w:p>
    <w:p>
      <w:pPr>
        <w:pStyle w:val="Compact"/>
        <w:numPr>
          <w:ilvl w:val="0"/>
          <w:numId w:val="1006"/>
        </w:numPr>
      </w:pPr>
      <w:r>
        <w:t xml:space="preserve">FOX shareholders expected to own roughly</w:t>
      </w:r>
      <w:r>
        <w:t xml:space="preserve"> </w:t>
      </w:r>
      <w:r>
        <w:rPr>
          <w:b/>
          <w:bCs/>
        </w:rPr>
        <w:t xml:space="preserve">73%</w:t>
      </w:r>
      <w:r>
        <w:t xml:space="preserve"> </w:t>
      </w:r>
      <w:r>
        <w:t xml:space="preserve">of the combined company;</w:t>
      </w:r>
    </w:p>
    <w:p>
      <w:pPr>
        <w:pStyle w:val="Compact"/>
        <w:numPr>
          <w:ilvl w:val="0"/>
          <w:numId w:val="1006"/>
        </w:numPr>
      </w:pPr>
      <w:r>
        <w:t xml:space="preserve">Roku shareholders expected to own roughly</w:t>
      </w:r>
      <w:r>
        <w:t xml:space="preserve"> </w:t>
      </w:r>
      <w:r>
        <w:rPr>
          <w:b/>
          <w:bCs/>
        </w:rPr>
        <w:t xml:space="preserve">27%</w:t>
      </w:r>
      <w:r>
        <w:t xml:space="preserve">;</w:t>
      </w:r>
    </w:p>
    <w:p>
      <w:pPr>
        <w:pStyle w:val="Compact"/>
        <w:numPr>
          <w:ilvl w:val="0"/>
          <w:numId w:val="1006"/>
        </w:numPr>
      </w:pPr>
      <w:r>
        <w:t xml:space="preserve">Approximately</w:t>
      </w:r>
      <w:r>
        <w:t xml:space="preserve"> </w:t>
      </w:r>
      <w:r>
        <w:rPr>
          <w:b/>
          <w:bCs/>
        </w:rPr>
        <w:t xml:space="preserve">152 million new FOX Class A shares</w:t>
      </w:r>
      <w:r>
        <w:t xml:space="preserve"> </w:t>
      </w:r>
      <w:r>
        <w:t xml:space="preserve">to be issued;</w:t>
      </w:r>
    </w:p>
    <w:p>
      <w:pPr>
        <w:pStyle w:val="Compact"/>
        <w:numPr>
          <w:ilvl w:val="0"/>
          <w:numId w:val="1006"/>
        </w:numPr>
      </w:pPr>
      <w:r>
        <w:t xml:space="preserve">Expected closing in the</w:t>
      </w:r>
      <w:r>
        <w:t xml:space="preserve"> </w:t>
      </w:r>
      <w:r>
        <w:rPr>
          <w:b/>
          <w:bCs/>
        </w:rPr>
        <w:t xml:space="preserve">first half of calendar 2027</w:t>
      </w:r>
      <w:r>
        <w:t xml:space="preserve">;</w:t>
      </w:r>
    </w:p>
    <w:p>
      <w:pPr>
        <w:pStyle w:val="Compact"/>
        <w:numPr>
          <w:ilvl w:val="0"/>
          <w:numId w:val="1006"/>
        </w:numPr>
      </w:pPr>
      <w:r>
        <w:t xml:space="preserve">About</w:t>
      </w:r>
      <w:r>
        <w:t xml:space="preserve"> </w:t>
      </w:r>
      <w:r>
        <w:rPr>
          <w:b/>
          <w:bCs/>
        </w:rPr>
        <w:t xml:space="preserve">$400 million of run-rate cost synergies</w:t>
      </w:r>
      <w:r>
        <w:t xml:space="preserve">, plus unquantified revenue upside;</w:t>
      </w:r>
    </w:p>
    <w:p>
      <w:pPr>
        <w:pStyle w:val="Compact"/>
        <w:numPr>
          <w:ilvl w:val="0"/>
          <w:numId w:val="1006"/>
        </w:numPr>
      </w:pPr>
      <w:r>
        <w:t xml:space="preserve">Expected free-cash-flow-per-share accretion by the</w:t>
      </w:r>
      <w:r>
        <w:t xml:space="preserve"> </w:t>
      </w:r>
      <w:r>
        <w:rPr>
          <w:b/>
          <w:bCs/>
        </w:rPr>
        <w:t xml:space="preserve">second full year following close</w:t>
      </w:r>
      <w:r>
        <w:t xml:space="preserve">;</w:t>
      </w:r>
    </w:p>
    <w:p>
      <w:pPr>
        <w:pStyle w:val="Compact"/>
        <w:numPr>
          <w:ilvl w:val="0"/>
          <w:numId w:val="1006"/>
        </w:numPr>
      </w:pPr>
      <w:r>
        <w:t xml:space="preserve">Expected net leverage at close of</w:t>
      </w:r>
      <w:r>
        <w:t xml:space="preserve"> </w:t>
      </w:r>
      <w:r>
        <w:rPr>
          <w:b/>
          <w:bCs/>
        </w:rPr>
        <w:t xml:space="preserve">2.8x</w:t>
      </w:r>
      <w:r>
        <w:t xml:space="preserve">, including 50% credit for run-rate cost synergies, or</w:t>
      </w:r>
      <w:r>
        <w:t xml:space="preserve"> </w:t>
      </w:r>
      <w:r>
        <w:rPr>
          <w:b/>
          <w:bCs/>
        </w:rPr>
        <w:t xml:space="preserve">2.9x excluding synergies</w:t>
      </w:r>
      <w:r>
        <w:t xml:space="preserve">;</w:t>
      </w:r>
    </w:p>
    <w:p>
      <w:pPr>
        <w:pStyle w:val="Compact"/>
        <w:numPr>
          <w:ilvl w:val="0"/>
          <w:numId w:val="1006"/>
        </w:numPr>
      </w:pPr>
      <w:r>
        <w:t xml:space="preserve">FOX has cited a</w:t>
      </w:r>
      <w:r>
        <w:t xml:space="preserve"> </w:t>
      </w:r>
      <w:r>
        <w:rPr>
          <w:b/>
          <w:bCs/>
        </w:rPr>
        <w:t xml:space="preserve">$12 billion committed bridge facility</w:t>
      </w:r>
      <w:r>
        <w:t xml:space="preserve">, while its presentation indicates $8.3 billion of new transaction debt and $9.1 billion of cash available at close.</w:t>
      </w:r>
    </w:p>
    <w:p>
      <w:pPr>
        <w:pStyle w:val="FirstParagraph"/>
      </w:pPr>
      <w:r>
        <w:t xml:space="preserve">The acquisition has a compelling strategic logic: it would combine FOX’s live sports, news and Tubi assets with Roku’s connected-TV operating system, first-party data, advertising technology and streaming distribution platform. But the trade-off is clear: FOX is moving from a highly cash-generative, comparatively conservative media balance sheet toward a more leveraged and diluted pro forma capital structure.</w:t>
      </w:r>
    </w:p>
    <w:bookmarkEnd w:id="17"/>
    <w:bookmarkStart w:id="18" w:name="questions-that-matter-most"/>
    <w:p>
      <w:pPr>
        <w:pStyle w:val="Heading3"/>
      </w:pPr>
      <w:r>
        <w:t xml:space="preserve">Questions that matter most</w:t>
      </w:r>
    </w:p>
    <w:p>
      <w:pPr>
        <w:numPr>
          <w:ilvl w:val="0"/>
          <w:numId w:val="1007"/>
        </w:numPr>
      </w:pPr>
      <w:r>
        <w:rPr>
          <w:b/>
          <w:bCs/>
        </w:rPr>
        <w:t xml:space="preserve">Has the financing plan changed since the June announcement?</w:t>
      </w:r>
      <w:r>
        <w:br/>
      </w:r>
      <w:r>
        <w:t xml:space="preserve">Investors need detail on expected permanent debt structure, interest expense, cash retained at close, and protection of investment-grade ratings.</w:t>
      </w:r>
    </w:p>
    <w:p>
      <w:pPr>
        <w:numPr>
          <w:ilvl w:val="0"/>
          <w:numId w:val="1007"/>
        </w:numPr>
      </w:pPr>
      <w:r>
        <w:rPr>
          <w:b/>
          <w:bCs/>
        </w:rPr>
        <w:t xml:space="preserve">Is the $400 million synergy target still intact?</w:t>
      </w:r>
      <w:r>
        <w:br/>
      </w:r>
      <w:r>
        <w:t xml:space="preserve">Management should identify the broad buckets—corporate costs, technology, advertising infrastructure, content, or distribution—without compromising integration flexibility.</w:t>
      </w:r>
    </w:p>
    <w:p>
      <w:pPr>
        <w:numPr>
          <w:ilvl w:val="0"/>
          <w:numId w:val="1007"/>
        </w:numPr>
      </w:pPr>
      <w:r>
        <w:rPr>
          <w:b/>
          <w:bCs/>
        </w:rPr>
        <w:t xml:space="preserve">What is the regulatory timetable?</w:t>
      </w:r>
      <w:r>
        <w:br/>
      </w:r>
      <w:r>
        <w:t xml:space="preserve">The call may provide clues on S-4 timing, shareholder-vote timing, and any expected antitrust or foreign-regulatory hurdles.</w:t>
      </w:r>
    </w:p>
    <w:p>
      <w:pPr>
        <w:numPr>
          <w:ilvl w:val="0"/>
          <w:numId w:val="1007"/>
        </w:numPr>
      </w:pPr>
      <w:r>
        <w:rPr>
          <w:b/>
          <w:bCs/>
        </w:rPr>
        <w:t xml:space="preserve">Will the buyback program truly continue “uninterrupted”?</w:t>
      </w:r>
      <w:r>
        <w:br/>
      </w:r>
      <w:r>
        <w:t xml:space="preserve">FOX has committed to continuing repurchases and dividends, but investors will want to know how the cadence and scale of repurchases change as the company preserves transaction cash.</w:t>
      </w:r>
    </w:p>
    <w:p>
      <w:pPr>
        <w:numPr>
          <w:ilvl w:val="0"/>
          <w:numId w:val="1007"/>
        </w:numPr>
      </w:pPr>
      <w:r>
        <w:rPr>
          <w:b/>
          <w:bCs/>
        </w:rPr>
        <w:t xml:space="preserve">How will FOX protect Roku’s platform neutrality?</w:t>
      </w:r>
      <w:r>
        <w:br/>
      </w:r>
      <w:r>
        <w:t xml:space="preserve">The strategic benefits require Roku to remain an open, partner-friendly platform. Any perception that FOX content receives preferential treatment could create partner or regulatory risk.</w:t>
      </w:r>
    </w:p>
    <w:p>
      <w:r>
        <w:pict>
          <v:rect style="width:0;height:1.5pt" o:hralign="center" o:hrstd="t" o:hr="t"/>
        </w:pict>
      </w:r>
    </w:p>
    <w:bookmarkEnd w:id="18"/>
    <w:bookmarkEnd w:id="19"/>
    <w:bookmarkStart w:id="20" w:name="Xcb9d2ae5f778971025e3ed33ff485f2db8a6eea"/>
    <w:p>
      <w:pPr>
        <w:pStyle w:val="Heading2"/>
      </w:pPr>
      <w:r>
        <w:t xml:space="preserve">Market setup: skepticism toward the deal remains evident</w:t>
      </w:r>
    </w:p>
    <w:p>
      <w:pPr>
        <w:pStyle w:val="FirstParagraph"/>
      </w:pPr>
      <w:r>
        <w:t xml:space="preserve">FOX Class A shares closed at</w:t>
      </w:r>
      <w:r>
        <w:t xml:space="preserve"> </w:t>
      </w:r>
      <m:oMath>
        <m:r>
          <m:t>58.70</m:t>
        </m:r>
        <m:r>
          <m:t>o</m:t>
        </m:r>
        <m:r>
          <m:t>n</m:t>
        </m:r>
        <m:r>
          <m:t>A</m:t>
        </m:r>
        <m:r>
          <m:t>u</m:t>
        </m:r>
        <m:r>
          <m:t>g</m:t>
        </m:r>
        <m:r>
          <m:t>u</m:t>
        </m:r>
        <m:r>
          <m:t>s</m:t>
        </m:r>
        <m:r>
          <m:t>t</m:t>
        </m:r>
        <m:r>
          <m:t>5</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65.85 on June 12</w:t>
      </w:r>
      <w:r>
        <w:t xml:space="preserve">, the final trading day before the Roku announcement—a decline of roughly</w:t>
      </w:r>
      <w:r>
        <w:t xml:space="preserve"> </w:t>
      </w:r>
      <w:r>
        <w:rPr>
          <w:b/>
          <w:bCs/>
        </w:rPr>
        <w:t xml:space="preserve">10.9%</w:t>
      </w:r>
      <w:r>
        <w:t xml:space="preserve">. FOX Class B shares declined by roughly</w:t>
      </w:r>
      <w:r>
        <w:t xml:space="preserve"> </w:t>
      </w:r>
      <w:r>
        <w:rPr>
          <w:b/>
          <w:bCs/>
        </w:rPr>
        <w:t xml:space="preserve">11.4%</w:t>
      </w:r>
      <w:r>
        <w:t xml:space="preserve"> </w:t>
      </w:r>
      <w:r>
        <w:t xml:space="preserve">over the same period.</w:t>
      </w:r>
    </w:p>
    <w:p>
      <w:pPr>
        <w:pStyle w:val="BodyText"/>
      </w:pPr>
      <w:r>
        <w:t xml:space="preserve">Roku closed at</w:t>
      </w:r>
      <w:r>
        <w:t xml:space="preserve"> </w:t>
      </w:r>
      <m:oMath>
        <m:r>
          <m:t>146.99</m:t>
        </m:r>
        <m:r>
          <m:rPr>
            <m:sty m:val="p"/>
          </m:rPr>
          <m:t>*</m:t>
        </m:r>
        <m:r>
          <m:rPr>
            <m:sty m:val="p"/>
          </m:rPr>
          <m:t>*</m:t>
        </m:r>
        <m:r>
          <m:t>o</m:t>
        </m:r>
        <m:r>
          <m:t>n</m:t>
        </m:r>
        <m:r>
          <m:t>A</m:t>
        </m:r>
        <m:r>
          <m:t>u</m:t>
        </m:r>
        <m:r>
          <m:t>g</m:t>
        </m:r>
        <m:r>
          <m:t>u</m:t>
        </m:r>
        <m:r>
          <m:t>s</m:t>
        </m:r>
        <m:r>
          <m:t>t</m:t>
        </m:r>
        <m:r>
          <m:t>5</m:t>
        </m:r>
        <m:r>
          <m:rPr>
            <m:sty m:val="p"/>
          </m:rPr>
          <m:t>.</m:t>
        </m:r>
        <m:r>
          <m:t>U</m:t>
        </m:r>
        <m:r>
          <m:t>s</m:t>
        </m:r>
        <m:r>
          <m:t>i</m:t>
        </m:r>
        <m:r>
          <m:t>n</m:t>
        </m:r>
        <m:r>
          <m:t>g</m:t>
        </m:r>
        <m:r>
          <m:t>F</m:t>
        </m:r>
        <m:r>
          <m:t>O</m:t>
        </m:r>
        <m:r>
          <m:t>X</m:t>
        </m:r>
        <m:r>
          <m:t>A</m:t>
        </m:r>
        <m:r>
          <m:rPr>
            <m:sty m:val="p"/>
          </m:rPr>
          <m:t>’</m:t>
        </m:r>
        <m:r>
          <m:t>s</m:t>
        </m:r>
        <m:r>
          <m:t>A</m:t>
        </m:r>
        <m:r>
          <m:t>u</m:t>
        </m:r>
        <m:r>
          <m:t>g</m:t>
        </m:r>
        <m:r>
          <m:t>u</m:t>
        </m:r>
        <m:r>
          <m:t>s</m:t>
        </m:r>
        <m:r>
          <m:t>t</m:t>
        </m:r>
        <m:r>
          <m:t>5</m:t>
        </m:r>
        <m:r>
          <m:t>c</m:t>
        </m:r>
        <m:r>
          <m:t>l</m:t>
        </m:r>
        <m:r>
          <m:t>o</m:t>
        </m:r>
        <m:r>
          <m:t>s</m:t>
        </m:r>
        <m:r>
          <m:t>e</m:t>
        </m:r>
        <m:r>
          <m:rPr>
            <m:sty m:val="p"/>
          </m:rPr>
          <m:t>,</m:t>
        </m:r>
        <m:r>
          <m:t>t</m:t>
        </m:r>
        <m:r>
          <m:t>h</m:t>
        </m:r>
        <m:r>
          <m:t>e</m:t>
        </m:r>
        <m:r>
          <m:t>a</m:t>
        </m:r>
        <m:r>
          <m:t>n</m:t>
        </m:r>
        <m:r>
          <m:t>n</m:t>
        </m:r>
        <m:r>
          <m:t>o</m:t>
        </m:r>
        <m:r>
          <m:t>u</m:t>
        </m:r>
        <m:r>
          <m:t>n</m:t>
        </m:r>
        <m:r>
          <m:t>c</m:t>
        </m:r>
        <m:r>
          <m:t>e</m:t>
        </m:r>
        <m:r>
          <m:t>d</m:t>
        </m:r>
        <m:r>
          <m:t>c</m:t>
        </m:r>
        <m:r>
          <m:t>o</m:t>
        </m:r>
        <m:r>
          <m:t>n</m:t>
        </m:r>
        <m:r>
          <m:t>s</m:t>
        </m:r>
        <m:r>
          <m:t>i</m:t>
        </m:r>
        <m:r>
          <m:t>d</m:t>
        </m:r>
        <m:r>
          <m:t>e</m:t>
        </m:r>
        <m:r>
          <m:t>r</m:t>
        </m:r>
        <m:r>
          <m:t>a</m:t>
        </m:r>
        <m:r>
          <m:t>t</m:t>
        </m:r>
        <m:r>
          <m:t>i</m:t>
        </m:r>
        <m:r>
          <m:t>o</m:t>
        </m:r>
        <m:r>
          <m:t>n</m:t>
        </m:r>
        <m:r>
          <m:t>i</m:t>
        </m:r>
        <m:r>
          <m:t>s</m:t>
        </m:r>
        <m:r>
          <m:t>w</m:t>
        </m:r>
        <m:r>
          <m:t>o</m:t>
        </m:r>
        <m:r>
          <m:t>r</m:t>
        </m:r>
        <m:r>
          <m:t>t</m:t>
        </m:r>
        <m:r>
          <m:t>h</m:t>
        </m:r>
        <m:r>
          <m:t>a</m:t>
        </m:r>
        <m:r>
          <m:t>p</m:t>
        </m:r>
        <m:r>
          <m:t>p</m:t>
        </m:r>
        <m:r>
          <m:t>r</m:t>
        </m:r>
        <m:r>
          <m:t>o</m:t>
        </m:r>
        <m:r>
          <m:t>x</m:t>
        </m:r>
        <m:r>
          <m:t>i</m:t>
        </m:r>
        <m:r>
          <m:t>m</m:t>
        </m:r>
        <m:r>
          <m:t>a</m:t>
        </m:r>
        <m:r>
          <m:t>t</m:t>
        </m:r>
        <m:r>
          <m:t>e</m:t>
        </m:r>
        <m:r>
          <m:t>l</m:t>
        </m:r>
        <m:r>
          <m:t>y</m:t>
        </m:r>
        <m:r>
          <m:rPr>
            <m:sty m:val="p"/>
          </m:rPr>
          <m:t>*</m:t>
        </m:r>
        <m:r>
          <m:rPr>
            <m:sty m:val="p"/>
          </m:rPr>
          <m:t>*</m:t>
        </m:r>
      </m:oMath>
      <w:r>
        <w:rPr>
          <w:b/>
          <w:bCs/>
        </w:rPr>
        <w:t xml:space="preserve">152.90 per Roku share</w:t>
      </w:r>
      <w:r>
        <w:t xml:space="preserve">, implying Roku traded at about a</w:t>
      </w:r>
      <w:r>
        <w:t xml:space="preserve"> </w:t>
      </w:r>
      <w:r>
        <w:rPr>
          <w:b/>
          <w:bCs/>
        </w:rPr>
        <w:t xml:space="preserve">3.9% discount</w:t>
      </w:r>
      <w:r>
        <w:t xml:space="preserve"> </w:t>
      </w:r>
      <w:r>
        <w:t xml:space="preserve">to the indicated consideration.</w:t>
      </w:r>
    </w:p>
    <w:p>
      <w:pPr>
        <w:pStyle w:val="BodyText"/>
      </w:pPr>
      <w:r>
        <w:t xml:space="preserve">That spread is not extreme for a transaction expected to close in the first half of 2027, but it reinforces that the market is assigning meaningful value to timing, financing, regulatory, and execution risk.</w:t>
      </w:r>
    </w:p>
    <w:p>
      <w:r>
        <w:pict>
          <v:rect style="width:0;height:1.5pt" o:hralign="center" o:hrstd="t" o:hr="t"/>
        </w:pict>
      </w:r>
    </w:p>
    <w:bookmarkEnd w:id="20"/>
    <w:bookmarkStart w:id="23" w:name="what-would-change-the-investment-debate"/>
    <w:p>
      <w:pPr>
        <w:pStyle w:val="Heading2"/>
      </w:pPr>
      <w:r>
        <w:t xml:space="preserve">What would change the investment debate?</w:t>
      </w:r>
    </w:p>
    <w:bookmarkStart w:id="21" w:name="potentially-bullish"/>
    <w:p>
      <w:pPr>
        <w:pStyle w:val="Heading3"/>
      </w:pPr>
      <w:r>
        <w:t xml:space="preserve">Potentially bullish</w:t>
      </w:r>
    </w:p>
    <w:p>
      <w:pPr>
        <w:pStyle w:val="Compact"/>
        <w:numPr>
          <w:ilvl w:val="0"/>
          <w:numId w:val="1008"/>
        </w:numPr>
      </w:pPr>
      <w:r>
        <w:t xml:space="preserve">Q4 EBITDA comfortably above the approximate</w:t>
      </w:r>
      <w:r>
        <w:t xml:space="preserve"> </w:t>
      </w:r>
      <w:r>
        <w:rPr>
          <w:b/>
          <w:bCs/>
        </w:rPr>
        <w:t xml:space="preserve">$913 million</w:t>
      </w:r>
      <w:r>
        <w:t xml:space="preserve"> </w:t>
      </w:r>
      <w:r>
        <w:t xml:space="preserve">record-year threshold;</w:t>
      </w:r>
    </w:p>
    <w:p>
      <w:pPr>
        <w:pStyle w:val="Compact"/>
        <w:numPr>
          <w:ilvl w:val="0"/>
          <w:numId w:val="1008"/>
        </w:numPr>
      </w:pPr>
      <w:r>
        <w:t xml:space="preserve">Strong World Cup monetization with a constructive fiscal Q1 2027 outlook;</w:t>
      </w:r>
    </w:p>
    <w:p>
      <w:pPr>
        <w:pStyle w:val="Compact"/>
        <w:numPr>
          <w:ilvl w:val="0"/>
          <w:numId w:val="1008"/>
        </w:numPr>
      </w:pPr>
      <w:r>
        <w:t xml:space="preserve">Tubi sustaining high-teens or better growth while remaining near breakeven or profitable;</w:t>
      </w:r>
    </w:p>
    <w:p>
      <w:pPr>
        <w:pStyle w:val="Compact"/>
        <w:numPr>
          <w:ilvl w:val="0"/>
          <w:numId w:val="1008"/>
        </w:numPr>
      </w:pPr>
      <w:r>
        <w:t xml:space="preserve">FOX One retention validating a durable direct-to-consumer distribution channel;</w:t>
      </w:r>
    </w:p>
    <w:p>
      <w:pPr>
        <w:pStyle w:val="Compact"/>
        <w:numPr>
          <w:ilvl w:val="0"/>
          <w:numId w:val="1008"/>
        </w:numPr>
      </w:pPr>
      <w:r>
        <w:t xml:space="preserve">Explicit confirmation that capital returns will remain meaningful after the Roku deal;</w:t>
      </w:r>
    </w:p>
    <w:p>
      <w:pPr>
        <w:pStyle w:val="Compact"/>
        <w:numPr>
          <w:ilvl w:val="0"/>
          <w:numId w:val="1008"/>
        </w:numPr>
      </w:pPr>
      <w:r>
        <w:t xml:space="preserve">Greater specificity around synergies, financing costs and approval timing.</w:t>
      </w:r>
    </w:p>
    <w:bookmarkEnd w:id="21"/>
    <w:bookmarkStart w:id="22" w:name="potentially-bearish"/>
    <w:p>
      <w:pPr>
        <w:pStyle w:val="Heading3"/>
      </w:pPr>
      <w:r>
        <w:t xml:space="preserve">Potentially bearish</w:t>
      </w:r>
    </w:p>
    <w:p>
      <w:pPr>
        <w:pStyle w:val="Compact"/>
        <w:numPr>
          <w:ilvl w:val="0"/>
          <w:numId w:val="1009"/>
        </w:numPr>
      </w:pPr>
      <w:r>
        <w:t xml:space="preserve">World Cup revenue is strong but profitability disappoints because rights, production or promotional costs are higher than expected;</w:t>
      </w:r>
    </w:p>
    <w:p>
      <w:pPr>
        <w:pStyle w:val="Compact"/>
        <w:numPr>
          <w:ilvl w:val="0"/>
          <w:numId w:val="1009"/>
        </w:numPr>
      </w:pPr>
      <w:r>
        <w:t xml:space="preserve">Core advertising softens once sports timing is excluded;</w:t>
      </w:r>
    </w:p>
    <w:p>
      <w:pPr>
        <w:pStyle w:val="Compact"/>
        <w:numPr>
          <w:ilvl w:val="0"/>
          <w:numId w:val="1009"/>
        </w:numPr>
      </w:pPr>
      <w:r>
        <w:t xml:space="preserve">Tubi growth requires renewed elevated spending;</w:t>
      </w:r>
    </w:p>
    <w:p>
      <w:pPr>
        <w:pStyle w:val="Compact"/>
        <w:numPr>
          <w:ilvl w:val="0"/>
          <w:numId w:val="1009"/>
        </w:numPr>
      </w:pPr>
      <w:r>
        <w:t xml:space="preserve">FOX One exhibits post-event churn or cannibalizes traditional affiliate revenue;</w:t>
      </w:r>
    </w:p>
    <w:p>
      <w:pPr>
        <w:pStyle w:val="Compact"/>
        <w:numPr>
          <w:ilvl w:val="0"/>
          <w:numId w:val="1009"/>
        </w:numPr>
      </w:pPr>
      <w:r>
        <w:t xml:space="preserve">Roku financing requires more debt, more equity issuance, or a slower buyback cadence than investors expect;</w:t>
      </w:r>
    </w:p>
    <w:p>
      <w:pPr>
        <w:pStyle w:val="Compact"/>
        <w:numPr>
          <w:ilvl w:val="0"/>
          <w:numId w:val="1009"/>
        </w:numPr>
      </w:pPr>
      <w:r>
        <w:t xml:space="preserve">Management provides limited disclosure on regulatory progress or integration planning.</w:t>
      </w:r>
    </w:p>
    <w:p>
      <w:r>
        <w:pict>
          <v:rect style="width:0;height:1.5pt" o:hralign="center" o:hrstd="t" o:hr="t"/>
        </w:pict>
      </w:r>
    </w:p>
    <w:bookmarkEnd w:id="22"/>
    <w:bookmarkEnd w:id="23"/>
    <w:bookmarkStart w:id="24" w:name="X2edc67e43426a6f844357e4210998a2cd372703"/>
    <w:p>
      <w:pPr>
        <w:pStyle w:val="Heading2"/>
      </w:pPr>
      <w:r>
        <w:t xml:space="preserve">Earnings-call questions investors should ask</w:t>
      </w:r>
    </w:p>
    <w:p>
      <w:pPr>
        <w:pStyle w:val="Compact"/>
        <w:numPr>
          <w:ilvl w:val="0"/>
          <w:numId w:val="1010"/>
        </w:numPr>
      </w:pPr>
      <w:r>
        <w:t xml:space="preserve">What was the Q4 revenue and EBITDA contribution from the World Cup, and what portion shifts into fiscal Q1 2027?</w:t>
      </w:r>
    </w:p>
    <w:p>
      <w:pPr>
        <w:pStyle w:val="Compact"/>
        <w:numPr>
          <w:ilvl w:val="0"/>
          <w:numId w:val="1010"/>
        </w:numPr>
      </w:pPr>
      <w:r>
        <w:t xml:space="preserve">What were underlying advertising trends excluding World Cup and other sports-event timing?</w:t>
      </w:r>
    </w:p>
    <w:p>
      <w:pPr>
        <w:pStyle w:val="Compact"/>
        <w:numPr>
          <w:ilvl w:val="0"/>
          <w:numId w:val="1010"/>
        </w:numPr>
      </w:pPr>
      <w:r>
        <w:t xml:space="preserve">How did Tubi revenue, hours viewed, monetization and profitability trend in Q4?</w:t>
      </w:r>
    </w:p>
    <w:p>
      <w:pPr>
        <w:pStyle w:val="Compact"/>
        <w:numPr>
          <w:ilvl w:val="0"/>
          <w:numId w:val="1010"/>
        </w:numPr>
      </w:pPr>
      <w:r>
        <w:t xml:space="preserve">What were FOX One gross additions, churn and retention trends through the World Cup?</w:t>
      </w:r>
    </w:p>
    <w:p>
      <w:pPr>
        <w:pStyle w:val="Compact"/>
        <w:numPr>
          <w:ilvl w:val="0"/>
          <w:numId w:val="1010"/>
        </w:numPr>
      </w:pPr>
      <w:r>
        <w:t xml:space="preserve">Does management still expect Television distribution revenue to return to growth in fiscal 2027?</w:t>
      </w:r>
    </w:p>
    <w:p>
      <w:pPr>
        <w:pStyle w:val="Compact"/>
        <w:numPr>
          <w:ilvl w:val="0"/>
          <w:numId w:val="1010"/>
        </w:numPr>
      </w:pPr>
      <w:r>
        <w:t xml:space="preserve">What has changed, if anything, in the Roku financing mix, leverage target, interest-cost outlook, or expected closing schedule?</w:t>
      </w:r>
    </w:p>
    <w:p>
      <w:pPr>
        <w:pStyle w:val="Compact"/>
        <w:numPr>
          <w:ilvl w:val="0"/>
          <w:numId w:val="1010"/>
        </w:numPr>
      </w:pPr>
      <w:r>
        <w:t xml:space="preserve">How much repurchase capacity does FOX intend to deploy between now and the transaction close?</w:t>
      </w:r>
    </w:p>
    <w:p>
      <w:pPr>
        <w:pStyle w:val="Compact"/>
        <w:numPr>
          <w:ilvl w:val="0"/>
          <w:numId w:val="1010"/>
        </w:numPr>
      </w:pPr>
      <w:r>
        <w:t xml:space="preserve">What are the principal sources of the $400 million synergy target, and when should investors expect realization?</w:t>
      </w:r>
    </w:p>
    <w:p>
      <w:r>
        <w:pict>
          <v:rect style="width:0;height:1.5pt" o:hralign="center" o:hrstd="t" o:hr="t"/>
        </w:pict>
      </w:r>
    </w:p>
    <w:bookmarkEnd w:id="24"/>
    <w:bookmarkStart w:id="26" w:name="takeaway"/>
    <w:p>
      <w:pPr>
        <w:pStyle w:val="Heading2"/>
      </w:pPr>
      <w:r>
        <w:t xml:space="preserve">Takeaway</w:t>
      </w:r>
    </w:p>
    <w:p>
      <w:pPr>
        <w:pStyle w:val="FirstParagraph"/>
      </w:pPr>
      <w:r>
        <w:t xml:space="preserve">FOX’s fiscal Q4 should validate a solid operating story: live sports and news remain differentiated assets, distribution trends are proving more resilient than feared, Tubi is scaling with improving economics, and the World Cup should provide a material near-term catalyst. Achieving a new full-year EBITDA record appears readily attainable.</w:t>
      </w:r>
    </w:p>
    <w:p>
      <w:pPr>
        <w:pStyle w:val="BodyText"/>
      </w:pPr>
      <w:r>
        <w:t xml:space="preserve">Yet this report is unlikely to be judged solely on the quarter. FOX shareholders now own an operating media company with a pending transformation into a larger advertising, streaming and connected-TV platform. The decisive issue is whether management can demonstrate that</w:t>
      </w:r>
      <w:r>
        <w:t xml:space="preserve"> </w:t>
      </w:r>
      <w:r>
        <w:rPr>
          <w:b/>
          <w:bCs/>
        </w:rPr>
        <w:t xml:space="preserve">core FOX continues to compound cash flow while Roku is financed and integrated without compromising the balance sheet or shareholder-return model</w:t>
      </w:r>
      <w:r>
        <w:t xml:space="preserve">.</w:t>
      </w:r>
    </w:p>
    <w:p>
      <w:r>
        <w:pict>
          <v:rect style="width:0;height:1.5pt" o:hralign="center" o:hrstd="t" o:hr="t"/>
        </w:pict>
      </w:r>
    </w:p>
    <w:bookmarkStart w:id="25" w:name="research-base"/>
    <w:p>
      <w:pPr>
        <w:pStyle w:val="Heading3"/>
      </w:pPr>
      <w:r>
        <w:t xml:space="preserve">Research base</w:t>
      </w:r>
    </w:p>
    <w:p>
      <w:pPr>
        <w:pStyle w:val="Compact"/>
        <w:numPr>
          <w:ilvl w:val="0"/>
          <w:numId w:val="1011"/>
        </w:numPr>
      </w:pPr>
      <w:r>
        <w:t xml:space="preserve">FOX fiscal Q3 2026 earnings release and earnings-call transcript</w:t>
      </w:r>
    </w:p>
    <w:p>
      <w:pPr>
        <w:pStyle w:val="Compact"/>
        <w:numPr>
          <w:ilvl w:val="0"/>
          <w:numId w:val="1011"/>
        </w:numPr>
      </w:pPr>
      <w:r>
        <w:t xml:space="preserve">FOX fiscal Q4 2025 earnings release</w:t>
      </w:r>
    </w:p>
    <w:p>
      <w:pPr>
        <w:pStyle w:val="Compact"/>
        <w:numPr>
          <w:ilvl w:val="0"/>
          <w:numId w:val="1011"/>
        </w:numPr>
      </w:pPr>
      <w:r>
        <w:t xml:space="preserve">FOX/Roku June 15, 2026 acquisition announcement and transaction presentation</w:t>
      </w:r>
    </w:p>
    <w:p>
      <w:pPr>
        <w:pStyle w:val="Compact"/>
        <w:numPr>
          <w:ilvl w:val="0"/>
          <w:numId w:val="1011"/>
        </w:numPr>
      </w:pPr>
      <w:r>
        <w:t xml:space="preserve">FOX/FOXA/ROKU market-price history through August 5, 2026</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2026-08-06T00:14:21Z</dcterms:created>
  <dcterms:modified xsi:type="dcterms:W3CDTF">2026-08-06T00:14:21Z</dcterms:modified>
</cp:coreProperties>
</file>

<file path=docProps/custom.xml><?xml version="1.0" encoding="utf-8"?>
<Properties xmlns="http://schemas.openxmlformats.org/officeDocument/2006/custom-properties" xmlns:vt="http://schemas.openxmlformats.org/officeDocument/2006/docPropsVTypes"/>
</file>