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GEN (Gen Digital) before writing the preview. Let me start by gathering recent filings, transcripts, and news.Let me read the most recent earnings call and release, plus check the investor briefing and recent news.Let me get stock price performance and recent news to round out the preview.# Gen Digital (GEN) — Earnings Preview</w:t>
      </w:r>
    </w:p>
    <w:bookmarkStart w:id="9" w:name="Xa3f2b3778d6e84a711df6675d98e9aba37f559d"/>
    <w:p>
      <w:pPr>
        <w:pStyle w:val="Heading3"/>
      </w:pPr>
      <w:r>
        <w:t xml:space="preserve">Fiscal 2027 First Quarter | Reports after market close Wednesday, August 6, 2026</w:t>
      </w:r>
    </w:p>
    <w:p>
      <w:r>
        <w:pict>
          <v:rect style="width:0;height:1.5pt" o:hralign="center" o:hrstd="t" o:hr="t"/>
        </w:pict>
      </w:r>
    </w:p>
    <w:bookmarkEnd w:id="9"/>
    <w:bookmarkStart w:id="10" w:name="the-setup-in-one-paragraph"/>
    <w:p>
      <w:pPr>
        <w:pStyle w:val="Heading2"/>
      </w:pPr>
      <w:r>
        <w:t xml:space="preserve">The Setup in One Paragraph</w:t>
      </w:r>
    </w:p>
    <w:p>
      <w:pPr>
        <w:pStyle w:val="FirstParagraph"/>
      </w:pPr>
      <w:r>
        <w:t xml:space="preserve">This is the</w:t>
      </w:r>
      <w:r>
        <w:t xml:space="preserve"> </w:t>
      </w:r>
      <w:r>
        <w:rPr>
          <w:b/>
          <w:bCs/>
        </w:rPr>
        <w:t xml:space="preserve">first checkpoint on management's newly raised long-term framework</w:t>
      </w:r>
      <w:r>
        <w:t xml:space="preserve">. On the May 7 FY26 print, Gen retired its old "mid-single-digit revenue / 12–15% EPS" targets and re-based to</w:t>
      </w:r>
      <w:r>
        <w:t xml:space="preserve"> </w:t>
      </w:r>
      <w:r>
        <w:rPr>
          <w:b/>
          <w:bCs/>
        </w:rPr>
        <w:t xml:space="preserve">8–10% revenue growth and mid-teens EPS growth</w:t>
      </w:r>
      <w:r>
        <w:t xml:space="preserve">, calling FY26 "our strongest results in a decade." Q1 is the first quarter investors get to test whether that step-change in trajectory is real — and, critically, whether the MoneyLion-driven financial-wellness thesis and the "trust layer for the AI era" narrative can offset the market's lingering fear of AI disintermediation in the core Norton/Avast franchise.</w:t>
      </w:r>
    </w:p>
    <w:p>
      <w:r>
        <w:pict>
          <v:rect style="width:0;height:1.5pt" o:hralign="center" o:hrstd="t" o:hr="t"/>
        </w:pict>
      </w:r>
    </w:p>
    <w:bookmarkEnd w:id="10"/>
    <w:bookmarkStart w:id="11" w:name="what-guidance-says"/>
    <w:p>
      <w:pPr>
        <w:pStyle w:val="Heading2"/>
      </w:pPr>
      <w:r>
        <w:t xml:space="preserve">What Guidance Says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Q1 FY27 Guide</w:t>
            </w:r>
          </w:p>
        </w:tc>
        <w:tc>
          <w:tcPr/>
          <w:p>
            <w:pPr>
              <w:pStyle w:val="Compact"/>
            </w:pPr>
            <w:r>
              <w:t xml:space="preserve">FY27 Full-Year Guide</w:t>
            </w:r>
          </w:p>
        </w:tc>
      </w:tr>
      <w:tr>
        <w:tc>
          <w:tcPr/>
          <w:p>
            <w:pPr>
              <w:pStyle w:val="Compact"/>
            </w:pPr>
            <w:r>
              <w:t xml:space="preserve">Revenue</w:t>
            </w:r>
          </w:p>
        </w:tc>
        <w:tc>
          <w:tcPr/>
          <w:p>
            <w:pPr>
              <w:pStyle w:val="Compact"/>
            </w:pPr>
            <w:r>
              <w:rPr>
                <w:b/>
                <w:bCs/>
              </w:rPr>
              <w:t xml:space="preserve">$1,300M – $1,325M</w:t>
            </w:r>
            <w:r>
              <w:t xml:space="preserve"> </w:t>
            </w:r>
            <w:r>
              <w:t xml:space="preserve">(+8–10% pro forma)</w:t>
            </w:r>
          </w:p>
        </w:tc>
        <w:tc>
          <w:tcPr/>
          <w:p>
            <w:pPr>
              <w:pStyle w:val="Compact"/>
            </w:pPr>
            <w:r>
              <w:rPr>
                <w:b/>
                <w:bCs/>
              </w:rPr>
              <w:t xml:space="preserve">$5,325M – $5,425M</w:t>
            </w:r>
            <w:r>
              <w:t xml:space="preserve"> </w:t>
            </w:r>
            <w:r>
              <w:t xml:space="preserve">(+8–10% pro forma)</w:t>
            </w:r>
          </w:p>
        </w:tc>
      </w:tr>
      <w:tr>
        <w:tc>
          <w:tcPr/>
          <w:p>
            <w:pPr>
              <w:pStyle w:val="Compact"/>
            </w:pPr>
            <w:r>
              <w:t xml:space="preserve">Non-GAAP EPS</w:t>
            </w:r>
          </w:p>
        </w:tc>
        <w:tc>
          <w:tcPr/>
          <w:p>
            <w:pPr>
              <w:pStyle w:val="Compact"/>
            </w:pPr>
            <w:r>
              <w:rPr>
                <w:b/>
                <w:bCs/>
              </w:rPr>
              <w:t xml:space="preserve">$0.68 – $0.70</w:t>
            </w:r>
            <w:r>
              <w:t xml:space="preserve"> </w:t>
            </w:r>
            <w:r>
              <w:t xml:space="preserve">(+13–17%, 15% midpoint)</w:t>
            </w:r>
          </w:p>
        </w:tc>
        <w:tc>
          <w:tcPr/>
          <w:p>
            <w:pPr>
              <w:pStyle w:val="Compact"/>
            </w:pPr>
            <w:r>
              <w:rPr>
                <w:b/>
                <w:bCs/>
              </w:rPr>
              <w:t xml:space="preserve">$2.85 – $2.95</w:t>
            </w:r>
            <w:r>
              <w:t xml:space="preserve"> </w:t>
            </w:r>
            <w:r>
              <w:t xml:space="preserve">(+13–17%, 15% midpoint)</w:t>
            </w:r>
          </w:p>
        </w:tc>
      </w:tr>
    </w:tbl>
    <w:p>
      <w:pPr>
        <w:pStyle w:val="BodyText"/>
      </w:pPr>
      <w:r>
        <w:t xml:space="preserve">Context: FY26 delivered</w:t>
      </w:r>
      <w:r>
        <w:t xml:space="preserve"> </w:t>
      </w:r>
      <w:r>
        <w:rPr>
          <w:b/>
          <w:bCs/>
        </w:rPr>
        <w:t xml:space="preserve">revenue of $5.0B (+9% pro forma)</w:t>
      </w:r>
      <w:r>
        <w:t xml:space="preserve">,</w:t>
      </w:r>
      <w:r>
        <w:t xml:space="preserve"> </w:t>
      </w:r>
      <w:r>
        <w:rPr>
          <w:b/>
          <w:bCs/>
        </w:rPr>
        <w:t xml:space="preserve">bookings of $5.1B (+10% pro forma)</w:t>
      </w:r>
      <w:r>
        <w:t xml:space="preserve">, and</w:t>
      </w:r>
      <w:r>
        <w:t xml:space="preserve"> </w:t>
      </w:r>
      <w:r>
        <w:rPr>
          <w:b/>
          <w:bCs/>
        </w:rPr>
        <w:t xml:space="preserve">non-GAAP EPS of $2.56 (+15%)</w:t>
      </w:r>
      <w:r>
        <w:t xml:space="preserve"> </w:t>
      </w:r>
      <w:r>
        <w:t xml:space="preserve">— the 10th consecutive quarter of hitting the 12–15% EPS commitment. Gen exited FY26 at</w:t>
      </w:r>
      <w:r>
        <w:t xml:space="preserve"> </w:t>
      </w:r>
      <w:r>
        <w:rPr>
          <w:b/>
          <w:bCs/>
        </w:rPr>
        <w:t xml:space="preserve">3x net leverage, a full year ahead of plan</w:t>
      </w:r>
      <w:r>
        <w:t xml:space="preserve">.</w:t>
      </w:r>
    </w:p>
    <w:p>
      <w:pPr>
        <w:pStyle w:val="BodyText"/>
      </w:pPr>
      <w:r>
        <w:rPr>
          <w:b/>
          <w:bCs/>
        </w:rPr>
        <w:t xml:space="preserve">The bar for Q1:</w:t>
      </w:r>
      <w:r>
        <w:t xml:space="preserve"> </w:t>
      </w:r>
      <w:r>
        <w:t xml:space="preserve">Simply hitting the guide isn't the story — Gen has beaten and raised for 10 straight quarters, so the buy-side likely expects a modest beat plus reaffirmation (or nudge) of the full-year 8–10% / mid-teens framework. A print that merely lands in-range with no raise could disappoint given the recent stock recovery.</w:t>
      </w:r>
    </w:p>
    <w:p>
      <w:r>
        <w:pict>
          <v:rect style="width:0;height:1.5pt" o:hralign="center" o:hrstd="t" o:hr="t"/>
        </w:pict>
      </w:r>
    </w:p>
    <w:bookmarkEnd w:id="11"/>
    <w:bookmarkStart w:id="12" w:name="the-stock-context--a-show-me-recovery"/>
    <w:p>
      <w:pPr>
        <w:pStyle w:val="Heading2"/>
      </w:pPr>
      <w:r>
        <w:t xml:space="preserve">The Stock Context — A "Show Me" Recovery</w:t>
      </w:r>
    </w:p>
    <w:p>
      <w:pPr>
        <w:pStyle w:val="FirstParagraph"/>
      </w:pPr>
      <w:r>
        <w:t xml:space="preserve">GEN has been on a round trip. Watching the tape:</w:t>
      </w:r>
    </w:p>
    <w:p>
      <w:pPr>
        <w:pStyle w:val="Compact"/>
        <w:numPr>
          <w:ilvl w:val="0"/>
          <w:numId w:val="1001"/>
        </w:numPr>
      </w:pPr>
      <w:r>
        <w:t xml:space="preserve">Traded near</w:t>
      </w:r>
      <w:r>
        <w:t xml:space="preserve"> </w:t>
      </w:r>
      <w:r>
        <w:rPr>
          <w:b/>
          <w:bCs/>
        </w:rPr>
        <w:t xml:space="preserve">~$32 in August 2025</w:t>
      </w:r>
      <w:r>
        <w:t xml:space="preserve">, then bled steadily lower through the winter.</w:t>
      </w:r>
    </w:p>
    <w:p>
      <w:pPr>
        <w:pStyle w:val="Compact"/>
        <w:numPr>
          <w:ilvl w:val="0"/>
          <w:numId w:val="1001"/>
        </w:numPr>
      </w:pPr>
      <w:r>
        <w:t xml:space="preserve">Bottomed around</w:t>
      </w:r>
      <w:r>
        <w:t xml:space="preserve"> </w:t>
      </w:r>
      <w:r>
        <w:rPr>
          <w:b/>
          <w:bCs/>
        </w:rPr>
        <w:t xml:space="preserve">~$18 in late March 2026</w:t>
      </w:r>
      <w:r>
        <w:t xml:space="preserve"> </w:t>
      </w:r>
      <w:r>
        <w:t xml:space="preserve">— a brutal ~45% drawdown, driven largely by fears that LLMs/agentic search would disintermediate Norton's consumer-security funnel.</w:t>
      </w:r>
    </w:p>
    <w:p>
      <w:pPr>
        <w:pStyle w:val="Compact"/>
        <w:numPr>
          <w:ilvl w:val="0"/>
          <w:numId w:val="1001"/>
        </w:numPr>
      </w:pPr>
      <w:r>
        <w:rPr>
          <w:b/>
          <w:bCs/>
        </w:rPr>
        <w:t xml:space="preserve">Ripped ~12% the day after the May 7 FY26 report</w:t>
      </w:r>
      <w:r>
        <w:t xml:space="preserve"> </w:t>
      </w:r>
      <w:r>
        <w:t xml:space="preserve">(from ~</w:t>
      </w:r>
      <m:oMath>
        <m:r>
          <m:t>20</m:t>
        </m:r>
        <m:r>
          <m:t>t</m:t>
        </m:r>
        <m:r>
          <m:t>o</m:t>
        </m:r>
        <m:r>
          <m:t> </m:t>
        </m:r>
      </m:oMath>
      <w:r>
        <w:t xml:space="preserve">23) on the guidance raise, and has climbed to **~$28 as of August 5**.</w:t>
      </w:r>
    </w:p>
    <w:p>
      <w:pPr>
        <w:pStyle w:val="FirstParagraph"/>
      </w:pPr>
      <w:r>
        <w:t xml:space="preserve">So the stock enters the print having recovered ~55% off the lows but still ~13% below its mid-2025 highs. Sentiment has shifted from "melting ice cube" back toward cautious optimism — which raises the stakes for confirmation this quarter.</w:t>
      </w:r>
    </w:p>
    <w:p>
      <w:r>
        <w:pict>
          <v:rect style="width:0;height:1.5pt" o:hralign="center" o:hrstd="t" o:hr="t"/>
        </w:pict>
      </w:r>
    </w:p>
    <w:bookmarkEnd w:id="12"/>
    <w:bookmarkStart w:id="18" w:name="the-five-things-that-actually-matter"/>
    <w:p>
      <w:pPr>
        <w:pStyle w:val="Heading2"/>
      </w:pPr>
      <w:r>
        <w:t xml:space="preserve">The Five Things That Actually Matter</w:t>
      </w:r>
    </w:p>
    <w:bookmarkStart w:id="13" w:name="X6187fbde2e99b3e6e9d2f872add939d7d37b1ce"/>
    <w:p>
      <w:pPr>
        <w:pStyle w:val="Heading3"/>
      </w:pPr>
      <w:r>
        <w:t xml:space="preserve">1. Pro forma vs. reported convergence (MoneyLion lap)</w:t>
      </w:r>
    </w:p>
    <w:p>
      <w:pPr>
        <w:pStyle w:val="FirstParagraph"/>
      </w:pPr>
      <w:r>
        <w:t xml:space="preserve">MoneyLion closed roughly a year ago (~April 2025). Q1 FY27 should be one of the</w:t>
      </w:r>
      <w:r>
        <w:t xml:space="preserve"> </w:t>
      </w:r>
      <w:r>
        <w:rPr>
          <w:b/>
          <w:bCs/>
        </w:rPr>
        <w:t xml:space="preserve">first cleanly comparable quarters</w:t>
      </w:r>
      <w:r>
        <w:t xml:space="preserve"> </w:t>
      </w:r>
      <w:r>
        <w:t xml:space="preserve">where reported and pro forma growth converge. Watch how much the optical "+27% reported" tailwind fades and whether underlying organic momentum holds at the 8–10% pace.</w:t>
      </w:r>
    </w:p>
    <w:bookmarkEnd w:id="13"/>
    <w:bookmarkStart w:id="14" w:name="X2a83dbdbb0b67f2631c0dd27ca3f88d320ccf49"/>
    <w:p>
      <w:pPr>
        <w:pStyle w:val="Heading3"/>
      </w:pPr>
      <w:r>
        <w:t xml:space="preserve">2. Cyber Safety re-acceleration (the disintermediation debate)</w:t>
      </w:r>
    </w:p>
    <w:p>
      <w:pPr>
        <w:pStyle w:val="FirstParagraph"/>
      </w:pPr>
      <w:r>
        <w:t xml:space="preserve">This is the crux of the bear case. The $3.3B Cyber Safety segment grew ~4% in Q4 (mid-single-digit for the year) at a 61% margin. Management is pushing back hard on AI-disruption fears with data points to watch for updates on:</w:t>
      </w:r>
    </w:p>
    <w:p>
      <w:pPr>
        <w:pStyle w:val="Compact"/>
        <w:numPr>
          <w:ilvl w:val="0"/>
          <w:numId w:val="1002"/>
        </w:numPr>
      </w:pPr>
      <w:r>
        <w:rPr>
          <w:b/>
          <w:bCs/>
        </w:rPr>
        <w:t xml:space="preserve">Paid customers</w:t>
      </w:r>
      <w:r>
        <w:t xml:space="preserve"> </w:t>
      </w:r>
      <w:r>
        <w:t xml:space="preserve">— 79M exiting FY26 (up from 68M a year earlier); 10 straight quarters of sequential subscriber growth.</w:t>
      </w:r>
    </w:p>
    <w:p>
      <w:pPr>
        <w:pStyle w:val="Compact"/>
        <w:numPr>
          <w:ilvl w:val="0"/>
          <w:numId w:val="1002"/>
        </w:numPr>
      </w:pPr>
      <w:r>
        <w:rPr>
          <w:b/>
          <w:bCs/>
        </w:rPr>
        <w:t xml:space="preserve">Cross-sell penetration</w:t>
      </w:r>
      <w:r>
        <w:t xml:space="preserve"> </w:t>
      </w:r>
      <w:r>
        <w:t xml:space="preserve">— now &gt;26% of the Norton base; cohort ARPU up 7–10% vs. two years ago.</w:t>
      </w:r>
    </w:p>
    <w:p>
      <w:pPr>
        <w:pStyle w:val="Compact"/>
        <w:numPr>
          <w:ilvl w:val="0"/>
          <w:numId w:val="1002"/>
        </w:numPr>
      </w:pPr>
      <w:r>
        <w:rPr>
          <w:b/>
          <w:bCs/>
        </w:rPr>
        <w:t xml:space="preserve">LLM distribution</w:t>
      </w:r>
      <w:r>
        <w:t xml:space="preserve"> </w:t>
      </w:r>
      <w:r>
        <w:t xml:space="preserve">— management claimed Norton appears in 34% of tracked non-brand ChatGPT prompts with LLM-driven traffic up 62% YoY. Any deceleration here would reignite the disintermediation narrative.</w:t>
      </w:r>
    </w:p>
    <w:bookmarkEnd w:id="14"/>
    <w:bookmarkStart w:id="15" w:name="X0e255e3b15d65b58bc0c9e246316c28e153ec64"/>
    <w:p>
      <w:pPr>
        <w:pStyle w:val="Heading3"/>
      </w:pPr>
      <w:r>
        <w:t xml:space="preserve">3. Trust-Based Solutions &amp; the MoneyLion engine</w:t>
      </w:r>
    </w:p>
    <w:p>
      <w:pPr>
        <w:pStyle w:val="FirstParagraph"/>
      </w:pPr>
      <w:r>
        <w:t xml:space="preserve">The ~$1.7B, 20%+ growth segment (30% margin) is the growth story. Look for:</w:t>
      </w:r>
    </w:p>
    <w:p>
      <w:pPr>
        <w:pStyle w:val="Compact"/>
        <w:numPr>
          <w:ilvl w:val="0"/>
          <w:numId w:val="1003"/>
        </w:numPr>
      </w:pPr>
      <w:r>
        <w:rPr>
          <w:b/>
          <w:bCs/>
        </w:rPr>
        <w:t xml:space="preserve">MoneyLion</w:t>
      </w:r>
      <w:r>
        <w:t xml:space="preserve"> </w:t>
      </w:r>
      <w:r>
        <w:t xml:space="preserve">— grew ~40% in FY26, approaching $1B revenue across PFM + Engine; watch origination volume, transactions/customer, and Engine partner adds (30+ new in Q4; ~400M annual inquiries).</w:t>
      </w:r>
    </w:p>
    <w:p>
      <w:pPr>
        <w:pStyle w:val="Compact"/>
        <w:numPr>
          <w:ilvl w:val="0"/>
          <w:numId w:val="1003"/>
        </w:numPr>
      </w:pPr>
      <w:r>
        <w:rPr>
          <w:b/>
          <w:bCs/>
        </w:rPr>
        <w:t xml:space="preserve">LifeLock reimagined</w:t>
      </w:r>
      <w:r>
        <w:t xml:space="preserve"> </w:t>
      </w:r>
      <w:r>
        <w:t xml:space="preserve">— mobile revenue grew ~50%, NPS at record 73, retention touching 90%. Continued momentum validates the redesign.</w:t>
      </w:r>
    </w:p>
    <w:bookmarkEnd w:id="15"/>
    <w:bookmarkStart w:id="16" w:name="X58ef6c1a2ea7533618640d9d4081a199e3485b6"/>
    <w:p>
      <w:pPr>
        <w:pStyle w:val="Heading3"/>
      </w:pPr>
      <w:r>
        <w:t xml:space="preserve">4. Revenue synergies — the 2H FY27 inflection</w:t>
      </w:r>
    </w:p>
    <w:p>
      <w:pPr>
        <w:pStyle w:val="FirstParagraph"/>
      </w:pPr>
      <w:r>
        <w:t xml:space="preserve">Management guided to</w:t>
      </w:r>
      <w:r>
        <w:t xml:space="preserve"> </w:t>
      </w:r>
      <w:r>
        <w:rPr>
          <w:b/>
          <w:bCs/>
        </w:rPr>
        <w:t xml:space="preserve">&gt;$100M in incremental annual revenue</w:t>
      </w:r>
      <w:r>
        <w:t xml:space="preserve"> </w:t>
      </w:r>
      <w:r>
        <w:t xml:space="preserve">from embedded financial-wellness expansion and Engine growth,</w:t>
      </w:r>
      <w:r>
        <w:t xml:space="preserve"> </w:t>
      </w:r>
      <w:r>
        <w:rPr>
          <w:b/>
          <w:bCs/>
        </w:rPr>
        <w:t xml:space="preserve">beginning in 2H FY27 and scaling into FY28–29</w:t>
      </w:r>
      <w:r>
        <w:t xml:space="preserve">. Q1 won't show the dollars yet, but watch the leading indicator:</w:t>
      </w:r>
      <w:r>
        <w:t xml:space="preserve"> </w:t>
      </w:r>
      <w:r>
        <w:rPr>
          <w:b/>
          <w:bCs/>
        </w:rPr>
        <w:t xml:space="preserve">connected financial accounts</w:t>
      </w:r>
      <w:r>
        <w:t xml:space="preserve"> </w:t>
      </w:r>
      <w:r>
        <w:t xml:space="preserve">(107M, +36% YoY in Q4) and the share of the paid base engaging with financial wellness (currently ~1/3). Any new disclosure metric here signals confidence in monetization.</w:t>
      </w:r>
    </w:p>
    <w:bookmarkEnd w:id="16"/>
    <w:bookmarkStart w:id="17" w:name="Xe7034b43959359f5a20a87a5d10c5cfbf0c88fe"/>
    <w:p>
      <w:pPr>
        <w:pStyle w:val="Heading3"/>
      </w:pPr>
      <w:r>
        <w:t xml:space="preserve">5. Margins, capital return &amp; balance sheet</w:t>
      </w:r>
    </w:p>
    <w:p>
      <w:pPr>
        <w:pStyle w:val="Compact"/>
        <w:numPr>
          <w:ilvl w:val="0"/>
          <w:numId w:val="1004"/>
        </w:numPr>
      </w:pPr>
      <w:r>
        <w:t xml:space="preserve">Overall non-GAAP operating margin ~50% (CS 61% / TBS 30%); management explicitly said FY27 is a year to</w:t>
      </w:r>
      <w:r>
        <w:t xml:space="preserve"> </w:t>
      </w:r>
      <w:r>
        <w:rPr>
          <w:b/>
          <w:bCs/>
        </w:rPr>
        <w:t xml:space="preserve">invest, not constrict</w:t>
      </w:r>
      <w:r>
        <w:t xml:space="preserve">, so don't expect margin expansion — watch for stability.</w:t>
      </w:r>
    </w:p>
    <w:p>
      <w:pPr>
        <w:pStyle w:val="Compact"/>
        <w:numPr>
          <w:ilvl w:val="0"/>
          <w:numId w:val="1004"/>
        </w:numPr>
      </w:pPr>
      <w:r>
        <w:t xml:space="preserve">**</w:t>
      </w:r>
      <m:oMath>
        <m:r>
          <m:t>2.1</m:t>
        </m:r>
        <m:r>
          <m:t>B</m:t>
        </m:r>
        <m:r>
          <m:t>r</m:t>
        </m:r>
        <m:r>
          <m:t>e</m:t>
        </m:r>
        <m:r>
          <m:t>m</m:t>
        </m:r>
        <m:r>
          <m:t>a</m:t>
        </m:r>
        <m:r>
          <m:t>i</m:t>
        </m:r>
        <m:r>
          <m:t>n</m:t>
        </m:r>
        <m:r>
          <m:t>i</m:t>
        </m:r>
        <m:r>
          <m:t>n</m:t>
        </m:r>
        <m:r>
          <m:t>g</m:t>
        </m:r>
        <m:r>
          <m:t>b</m:t>
        </m:r>
        <m:r>
          <m:t>u</m:t>
        </m:r>
        <m:r>
          <m:t>y</m:t>
        </m:r>
        <m:r>
          <m:t>b</m:t>
        </m:r>
        <m:r>
          <m:t>a</m:t>
        </m:r>
        <m:r>
          <m:t>c</m:t>
        </m:r>
        <m:r>
          <m:t>k</m:t>
        </m:r>
        <m:r>
          <m:t>a</m:t>
        </m:r>
        <m:r>
          <m:t>u</m:t>
        </m:r>
        <m:r>
          <m:t>t</m:t>
        </m:r>
        <m:r>
          <m:t>h</m:t>
        </m:r>
        <m:r>
          <m:t>o</m:t>
        </m:r>
        <m:r>
          <m:t>r</m:t>
        </m:r>
        <m:r>
          <m:t>i</m:t>
        </m:r>
        <m:r>
          <m:t>z</m:t>
        </m:r>
        <m:r>
          <m:t>a</m:t>
        </m:r>
        <m:r>
          <m:t>t</m:t>
        </m:r>
        <m:r>
          <m:t>i</m:t>
        </m:r>
        <m:r>
          <m:t>o</m:t>
        </m:r>
        <m:r>
          <m:t>n</m:t>
        </m:r>
        <m:r>
          <m:rPr>
            <m:sty m:val="p"/>
          </m:rPr>
          <m:t>*</m:t>
        </m:r>
        <m:r>
          <m:rPr>
            <m:sty m:val="p"/>
          </m:rPr>
          <m:t>*</m:t>
        </m:r>
        <m:r>
          <m:rPr>
            <m:sty m:val="p"/>
          </m:rPr>
          <m:t>;</m:t>
        </m:r>
        <m:r>
          <m:t> </m:t>
        </m:r>
      </m:oMath>
      <w:r>
        <w:t xml:space="preserve">200M/quarter run-rate of repurchases + $200M/quarter debt paydown; quarterly dividend of $0.125.</w:t>
      </w:r>
    </w:p>
    <w:p>
      <w:pPr>
        <w:pStyle w:val="Compact"/>
        <w:numPr>
          <w:ilvl w:val="0"/>
          <w:numId w:val="1004"/>
        </w:numPr>
      </w:pPr>
      <w:r>
        <w:t xml:space="preserve">With leverage now at target (3x), the debate shifts to buyback pace vs. tuck-in M&amp;A (e.g., the recent Trellis insurance-marketplace deal).</w:t>
      </w:r>
    </w:p>
    <w:p>
      <w:r>
        <w:pict>
          <v:rect style="width:0;height:1.5pt" o:hralign="center" o:hrstd="t" o:hr="t"/>
        </w:pict>
      </w:r>
    </w:p>
    <w:bookmarkEnd w:id="17"/>
    <w:bookmarkEnd w:id="18"/>
    <w:bookmarkStart w:id="19" w:name="watch-the-gaap-noise--fx"/>
    <w:p>
      <w:pPr>
        <w:pStyle w:val="Heading2"/>
      </w:pPr>
      <w:r>
        <w:t xml:space="preserve">Watch the GAAP Noise &amp; FX</w:t>
      </w:r>
    </w:p>
    <w:p>
      <w:pPr>
        <w:pStyle w:val="Compact"/>
        <w:numPr>
          <w:ilvl w:val="0"/>
          <w:numId w:val="1005"/>
        </w:numPr>
      </w:pPr>
      <w:r>
        <w:t xml:space="preserve">Q4 GAAP EPS was heavily distorted by a</w:t>
      </w:r>
      <w:r>
        <w:t xml:space="preserve"> </w:t>
      </w:r>
      <w:r>
        <w:rPr>
          <w:b/>
          <w:bCs/>
        </w:rPr>
        <w:t xml:space="preserve">~$353M litigation benefit</w:t>
      </w:r>
      <w:r>
        <w:t xml:space="preserve"> </w:t>
      </w:r>
      <w:r>
        <w:t xml:space="preserve">(a credit, not a charge). Focus on</w:t>
      </w:r>
      <w:r>
        <w:t xml:space="preserve"> </w:t>
      </w:r>
      <w:r>
        <w:rPr>
          <w:b/>
          <w:bCs/>
        </w:rPr>
        <w:t xml:space="preserve">non-GAAP</w:t>
      </w:r>
      <w:r>
        <w:t xml:space="preserve"> </w:t>
      </w:r>
      <w:r>
        <w:t xml:space="preserve">metrics and be ready to look through GAAP swings; also monitor amortization and any new litigation items.</w:t>
      </w:r>
    </w:p>
    <w:p>
      <w:pPr>
        <w:pStyle w:val="Compact"/>
        <w:numPr>
          <w:ilvl w:val="0"/>
          <w:numId w:val="1005"/>
        </w:numPr>
      </w:pPr>
      <w:r>
        <w:t xml:space="preserve">Guidance assumes current FX; a weaker dollar could provide an unquantified tailwind (or a raise catalyst), given Gen's large international consumer base (~500M users across 150+ countries).</w:t>
      </w:r>
    </w:p>
    <w:p>
      <w:r>
        <w:pict>
          <v:rect style="width:0;height:1.5pt" o:hralign="center" o:hrstd="t" o:hr="t"/>
        </w:pict>
      </w:r>
    </w:p>
    <w:bookmarkEnd w:id="19"/>
    <w:bookmarkStart w:id="20" w:name="bottom-line"/>
    <w:p>
      <w:pPr>
        <w:pStyle w:val="Heading2"/>
      </w:pPr>
      <w:r>
        <w:t xml:space="preserve">Bottom Line</w:t>
      </w:r>
    </w:p>
    <w:p>
      <w:pPr>
        <w:pStyle w:val="FirstParagraph"/>
      </w:pPr>
      <w:r>
        <w:t xml:space="preserve">Gen goes into this print with</w:t>
      </w:r>
      <w:r>
        <w:t xml:space="preserve"> </w:t>
      </w:r>
      <w:r>
        <w:rPr>
          <w:b/>
          <w:bCs/>
        </w:rPr>
        <w:t xml:space="preserve">momentum, a raised framework, and a recovered-but-not-fully-healed stock</w:t>
      </w:r>
      <w:r>
        <w:t xml:space="preserve">. The most likely path to a positive reaction: a modest revenue/EPS beat, continued Cyber Safety subscriber growth that defuses the AI-disintermediation fear, sustained 20%+ Trust-Based Solutions growth, and reaffirmation (or a nudge higher) of the FY27 8–10% / mid-teens targets — ideally with an early tangible marker on financial-wellness synergy monetization ahead of the 2H FY27 ramp.</w:t>
      </w:r>
    </w:p>
    <w:p>
      <w:pPr>
        <w:pStyle w:val="BodyText"/>
      </w:pPr>
      <w:r>
        <w:rPr>
          <w:b/>
          <w:bCs/>
        </w:rPr>
        <w:t xml:space="preserve">Key risks to the setup:</w:t>
      </w:r>
      <w:r>
        <w:t xml:space="preserve"> </w:t>
      </w:r>
      <w:r>
        <w:t xml:space="preserve">(1) Cyber Safety growth stalling back toward low-single-digits, (2) reported growth decelerating sharply as the MoneyLion lap removes the optical tailwind without organic acceleration filling the gap, and (3) a simple "in-line, no-raise" quarter that fails to justify the ~55% move off the March lows.</w:t>
      </w:r>
    </w:p>
    <w:p>
      <w:pPr>
        <w:pStyle w:val="BodyText"/>
      </w:pPr>
      <w:r>
        <w:rPr>
          <w:i/>
          <w:iCs/>
        </w:rPr>
        <w:t xml:space="preserve">Note: I could not find material Gen-specific news in the two weeks ahead of the print — the July 14 announcement of the earnings date was the only recent item — so expectations are being set almost entirely off the May guidance and the subsequent stock recovery.</w:t>
      </w:r>
    </w:p>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2026-08-06T00:57:11Z</dcterms:created>
  <dcterms:modified xsi:type="dcterms:W3CDTF">2026-08-06T00:57:11Z</dcterms:modified>
</cp:coreProperties>
</file>

<file path=docProps/custom.xml><?xml version="1.0" encoding="utf-8"?>
<Properties xmlns="http://schemas.openxmlformats.org/officeDocument/2006/custom-properties" xmlns:vt="http://schemas.openxmlformats.org/officeDocument/2006/docPropsVTypes"/>
</file>