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n-earnings-predictions--2026-08-06"/>
    <w:p>
      <w:pPr>
        <w:pStyle w:val="Heading1"/>
      </w:pPr>
      <w:r>
        <w:t xml:space="preserve">GEN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Revenue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0.71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Bookings, pro forma growth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11</m:t>
              </m:r>
            </m:oMath>
            <w:r>
              <w:t xml:space="preserve">1.31B (+8% pro forma)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FY27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1.32B (Q2 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FY27 Non-GAAP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0.72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0.70 (Q2 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full-year revenue growth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~9% vs. cons ~9% (FY27, reiterated 8-10% range)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full-year EPS growth framework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~15% vs. cons ~14% (FY27, within reiterated 13-17% mid-teens range)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Trust-Based Solutions &gt;$100M revenue synergy target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0M explicitly modeled (H2 FY27 start)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A modest beat-and-reiterate (not beat-and-raise) print, arriving after a &gt;50% run off April lows and a stock already sitting near consensus price targets, leaves little room for multiple expansion; estimate revisions likely tick up only slightly (in line with the historical ~3% average EPS surprise already baked into buy-side models), while the full-year 8-10%/mid-teens framework being reiterated rather than raised removes the incremental catalyst that drove the +16% gap after the May beat-and-raise print. Expect an initial small positive pop on the in-line-to-slight-beat numbers that fades over the week as investors rotate out on 'sell-the-news' positioning, absent fresh detail on the &gt;$100M TBS synergy ramp or an outright guidance raise.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2026-08-06T00:57:44Z</dcterms:created>
  <dcterms:modified xsi:type="dcterms:W3CDTF">2026-08-06T00:57:44Z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