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320ed7c88df0adebf37ccc7d2555b2b8b37a43d"/>
    <w:p>
      <w:pPr>
        <w:pStyle w:val="Heading1"/>
      </w:pPr>
      <w:r>
        <w:t xml:space="preserve">Gen Digital (GEN) Earnings Preview — Q1 FY2027 (Reports Thursday, August 6, 2026, After Market Close)</w:t>
      </w:r>
    </w:p>
    <w:bookmarkStart w:id="9" w:name="the-setup"/>
    <w:p>
      <w:pPr>
        <w:pStyle w:val="Heading2"/>
      </w:pPr>
      <w:r>
        <w:t xml:space="preserve">The Setup</w:t>
      </w:r>
    </w:p>
    <w:p>
      <w:pPr>
        <w:pStyle w:val="FirstParagraph"/>
      </w:pPr>
      <w:r>
        <w:t xml:space="preserve">Gen Digital reports fiscal Q1 2027 results after the close on August 6, with a call at 5:00 p.m. ET. This is the first print since management delivered a blowout Q4/full-year FY26 report on May 7 and</w:t>
      </w:r>
      <w:r>
        <w:t xml:space="preserve"> </w:t>
      </w:r>
      <w:r>
        <w:rPr>
          <w:b/>
          <w:bCs/>
        </w:rPr>
        <w:t xml:space="preserve">raised</w:t>
      </w:r>
      <w:r>
        <w:t xml:space="preserve"> </w:t>
      </w:r>
      <w:r>
        <w:t xml:space="preserve">its multi-year growth algorithm — a rare and important signal for a company that had spent years guiding to mid-single-digit growth. The stock has responded: shares bottomed near $17.89 in early April 2026 and have since rallied to roughly</w:t>
      </w:r>
      <w:r>
        <w:t xml:space="preserve"> </w:t>
      </w:r>
      <m:oMath>
        <m:r>
          <m:t>28</m:t>
        </m:r>
        <m:r>
          <m:rPr>
            <m:sty m:val="p"/>
          </m:rPr>
          <m:t>,</m:t>
        </m:r>
        <m:r>
          <m:t>a</m:t>
        </m:r>
        <m:r>
          <m:t>g</m:t>
        </m:r>
        <m:r>
          <m:t>a</m:t>
        </m:r>
        <m:r>
          <m:t>i</m:t>
        </m:r>
        <m:r>
          <m:t>n</m:t>
        </m:r>
        <m:r>
          <m:t>o</m:t>
        </m:r>
        <m:r>
          <m:t>f</m:t>
        </m:r>
        <m:r>
          <m:t>m</m:t>
        </m:r>
        <m:r>
          <m:t>o</m:t>
        </m:r>
        <m:r>
          <m:t>r</m:t>
        </m:r>
        <m:r>
          <m:t>e</m:t>
        </m:r>
        <m:r>
          <m:t>t</m:t>
        </m:r>
        <m:r>
          <m:t>h</m:t>
        </m:r>
        <m:r>
          <m:t>a</m:t>
        </m:r>
        <m:r>
          <m:t>n</m:t>
        </m:r>
        <m:r>
          <m:t>50</m:t>
        </m:r>
      </m:oMath>
      <w:r>
        <w:t xml:space="preserve">19.56 to ~$22.68) following the May report. That run-up raises the bar for tomorrow's print — the market has already priced in a fair amount of the "acceleration" story.</w:t>
      </w:r>
    </w:p>
    <w:bookmarkEnd w:id="9"/>
    <w:bookmarkStart w:id="10" w:name="what-just-happened-fy26-recap"/>
    <w:p>
      <w:pPr>
        <w:pStyle w:val="Heading2"/>
      </w:pPr>
      <w:r>
        <w:t xml:space="preserve">What Just Happened: FY26 Recap</w:t>
      </w:r>
    </w:p>
    <w:p>
      <w:pPr>
        <w:pStyle w:val="FirstParagraph"/>
      </w:pPr>
      <w:r>
        <w:t xml:space="preserve">FY26 (ended April 3, 2026) was described by CEO Vincent Pilette as "our strongest results in a decade". Full-year non-GAAP highlights:</w:t>
      </w:r>
    </w:p>
    <w:p>
      <w:pPr>
        <w:pStyle w:val="Compact"/>
        <w:numPr>
          <w:ilvl w:val="0"/>
          <w:numId w:val="1001"/>
        </w:numPr>
      </w:pPr>
      <w:r>
        <w:t xml:space="preserve">Total bookings reached a record $5.1 billion, up 28% as reported and up 10% pro forma</w:t>
      </w:r>
    </w:p>
    <w:p>
      <w:pPr>
        <w:pStyle w:val="Compact"/>
        <w:numPr>
          <w:ilvl w:val="0"/>
          <w:numId w:val="1001"/>
        </w:numPr>
      </w:pPr>
      <w:r>
        <w:t xml:space="preserve">Total revenue exceeded guidance, reaching a record $5 billion, up 27% as reported and up 9% pro forma</w:t>
      </w:r>
    </w:p>
    <w:p>
      <w:pPr>
        <w:pStyle w:val="Compact"/>
        <w:numPr>
          <w:ilvl w:val="0"/>
          <w:numId w:val="1001"/>
        </w:numPr>
      </w:pPr>
      <w:r>
        <w:t xml:space="preserve">Full year operating income was $2.5 billion, representing an operating margin of 51%, and full year EPS was $2.56, up 15% year-over-year and at the high end of guidance</w:t>
      </w:r>
    </w:p>
    <w:p>
      <w:pPr>
        <w:pStyle w:val="Compact"/>
        <w:numPr>
          <w:ilvl w:val="0"/>
          <w:numId w:val="1001"/>
        </w:numPr>
      </w:pPr>
      <w:r>
        <w:t xml:space="preserve">Generated $1.5 billion in free cash flow, representing over 30% of revenue and up 26% year-over-year, while achieving 3x net leverage, a year ahead of schedule</w:t>
      </w:r>
    </w:p>
    <w:p>
      <w:pPr>
        <w:pStyle w:val="FirstParagraph"/>
      </w:pPr>
      <w:r>
        <w:t xml:space="preserve">Q4 itself beat the high end of guidance: Q4 bookings was $1.36 billion, up 27% year-over-year and up 10% on a pro forma basis. Revenue was $1.28 billion, up 27% year-over-year and up 9% pro forma, with Q4 net income of $408 million and diluted EPS of $0.67, above guidance and up 14% year-over-year — the company's 10th consecutive quarter of achieving or exceeding its 12% to 15% EPS growth target.</w:t>
      </w:r>
    </w:p>
    <w:p>
      <w:pPr>
        <w:pStyle w:val="BodyText"/>
      </w:pPr>
      <w:r>
        <w:t xml:space="preserve">One important GAAP nuance for anyone screening headline numbers: Q4 GAAP G&amp;A swung sharply positive due to a</w:t>
      </w:r>
      <w:r>
        <w:t xml:space="preserve"> </w:t>
      </w:r>
      <w:r>
        <w:rPr>
          <w:b/>
          <w:bCs/>
        </w:rPr>
        <w:t xml:space="preserve">$354 million litigation accrual reversal</w:t>
      </w:r>
      <w:r>
        <w:t xml:space="preserve"> </w:t>
      </w:r>
      <w:r>
        <w:t xml:space="preserve">tied to the Columbia University lawsuit, which pushed GAAP operating income and EPS up dramatically (Q4 GAAP diluted EPS of $0.84, up 269% y/y) even though this is excluded from non-GAAP figures. Investors should focus on the non-GAAP numbers, which strip this one-time item out.</w:t>
      </w:r>
    </w:p>
    <w:bookmarkEnd w:id="10"/>
    <w:bookmarkStart w:id="11" w:name="the-big-story-a-raised-growth-algorithm"/>
    <w:p>
      <w:pPr>
        <w:pStyle w:val="Heading2"/>
      </w:pPr>
      <w:r>
        <w:t xml:space="preserve">The Big Story: A Raised Growth Algorithm</w:t>
      </w:r>
    </w:p>
    <w:p>
      <w:pPr>
        <w:pStyle w:val="FirstParagraph"/>
      </w:pPr>
      <w:r>
        <w:t xml:space="preserve">The most important development from the May print wasn't the beat itself — it was the guidance reset. Management raised its FY27 outlook to</w:t>
      </w:r>
      <w:r>
        <w:t xml:space="preserve"> </w:t>
      </w:r>
      <w:r>
        <w:rPr>
          <w:b/>
          <w:bCs/>
        </w:rPr>
        <w:t xml:space="preserve">8%–10% revenue growth and mid-teens EPS growth</w:t>
      </w:r>
      <w:r>
        <w:t xml:space="preserve">, up from a prior mid-single-digit revenue / 12%–15% EPS framework. As Pilette put it: "for fiscal year '27, we are raising our outlook to 8% to 10% revenue growth and mid-teens EPS growth... This is a clear trajectory shift as our prior midterm targets were for mid-single-digit revenue growth and 12% to 15% earnings growth."</w:t>
      </w:r>
    </w:p>
    <w:p>
      <w:pPr>
        <w:pStyle w:val="BodyText"/>
      </w:pPr>
      <w:r>
        <w:t xml:space="preserve">This shift is being driven by the combination of a steady Cyber Safety core and a fast-growing Trust-Based Solutions (identity + financial wellness) segment. Segment-level detail from Q4/FY26:</w:t>
      </w:r>
    </w:p>
    <w:p>
      <w:pPr>
        <w:pStyle w:val="Compact"/>
        <w:numPr>
          <w:ilvl w:val="0"/>
          <w:numId w:val="1002"/>
        </w:numPr>
      </w:pPr>
      <w:r>
        <w:t xml:space="preserve">In our Cyber Safety segment, bookings grew 5% and revenue growth accelerated to 4%... In our Trust-Based Solutions segment, bookings and revenue more than doubled as reported with the addition of financial wellness to our portfolio and grew 21% and 20%, respectively, on a pro forma basis</w:t>
      </w:r>
    </w:p>
    <w:p>
      <w:pPr>
        <w:pStyle w:val="Compact"/>
        <w:numPr>
          <w:ilvl w:val="0"/>
          <w:numId w:val="1002"/>
        </w:numPr>
      </w:pPr>
      <w:r>
        <w:t xml:space="preserve">Segment margins: Segment margins were 61% for Cyber Safety and 30% for Trust-Based Solutions, both in line with our targets</w:t>
      </w:r>
    </w:p>
    <w:p>
      <w:pPr>
        <w:pStyle w:val="Compact"/>
        <w:numPr>
          <w:ilvl w:val="0"/>
          <w:numId w:val="1002"/>
        </w:numPr>
      </w:pPr>
      <w:r>
        <w:t xml:space="preserve">MoneyLion (acquired ~a year ago) is scaling fast: "overall MoneyLion achieved nearly 40% growth in Q4 and is rapidly approaching $1 billion in annual revenue"</w:t>
      </w:r>
    </w:p>
    <w:bookmarkEnd w:id="11"/>
    <w:bookmarkStart w:id="12" w:name="Xe2e7f639c7b8e8af4a160f9ba62af6990dbfed3"/>
    <w:p>
      <w:pPr>
        <w:pStyle w:val="Heading2"/>
      </w:pPr>
      <w:r>
        <w:t xml:space="preserve">Q1 FY27 Guidance (What's Being Tested Tomorrow)</w:t>
      </w:r>
    </w:p>
    <w:p>
      <w:pPr>
        <w:pStyle w:val="FirstParagraph"/>
      </w:pPr>
      <w:r>
        <w:t xml:space="preserve">Management's own guidance for the quarter being reported:</w:t>
      </w:r>
    </w:p>
    <w:p>
      <w:pPr>
        <w:pStyle w:val="Compact"/>
        <w:numPr>
          <w:ilvl w:val="0"/>
          <w:numId w:val="1003"/>
        </w:numPr>
      </w:pPr>
      <w:r>
        <w:t xml:space="preserve">Q1 FY27 Revenue expected to be in the range of $1,300 million to $1,325 million</w:t>
      </w:r>
    </w:p>
    <w:p>
      <w:pPr>
        <w:pStyle w:val="Compact"/>
        <w:numPr>
          <w:ilvl w:val="0"/>
          <w:numId w:val="1003"/>
        </w:numPr>
      </w:pPr>
      <w:r>
        <w:t xml:space="preserve">Q1 FY27 EPS expected to be in the range of $0.68 to $0.70</w:t>
      </w:r>
    </w:p>
    <w:p>
      <w:pPr>
        <w:pStyle w:val="FirstParagraph"/>
      </w:pPr>
      <w:r>
        <w:t xml:space="preserve">Per commentary on the call, this represents revenue in the range of $1.3 billion to $1.325 billion, representing 8% to 10% pro forma growth and non-GAAP EPS in the range of $0.68 to $0.70, representing mid-teens pro forma growth of 13% to 17%.</w:t>
      </w:r>
    </w:p>
    <w:p>
      <w:pPr>
        <w:pStyle w:val="BodyText"/>
      </w:pPr>
      <w:r>
        <w:rPr>
          <w:b/>
          <w:bCs/>
        </w:rPr>
        <w:t xml:space="preserve">Wall Street consensus heading into the print:</w:t>
      </w:r>
      <w:r>
        <w:t xml:space="preserve"> </w:t>
      </w:r>
      <w:r>
        <w:t xml:space="preserve">Zacks consensus sits at roughly $1.30 billion in revenue (implying ~3.7% y/y reported growth, since pro forma comps are much higher than reported comps due to the MoneyLion lap) and about $0.69 in non-GAAP EPS (~7.8% y/y growth), essentially in line with management's own guidance range. Notably, GEN has beaten the Zacks consensus EPS estimate in each of the trailing four quarters, with an average surprise of roughly 3.25%, so the bar, while raised, has a track record of being cleared.</w:t>
      </w:r>
    </w:p>
    <w:bookmarkEnd w:id="12"/>
    <w:bookmarkStart w:id="13" w:name="themes-to-watch-on-the-call"/>
    <w:p>
      <w:pPr>
        <w:pStyle w:val="Heading2"/>
      </w:pPr>
      <w:r>
        <w:t xml:space="preserve">Themes to Watch on the Call</w:t>
      </w:r>
    </w:p>
    <w:p>
      <w:pPr>
        <w:pStyle w:val="Compact"/>
        <w:numPr>
          <w:ilvl w:val="0"/>
          <w:numId w:val="1004"/>
        </w:numPr>
      </w:pPr>
      <w:r>
        <w:rPr>
          <w:b/>
          <w:bCs/>
        </w:rPr>
        <w:t xml:space="preserve">Cyber Safety durability.</w:t>
      </w:r>
      <w:r>
        <w:t xml:space="preserve"> </w:t>
      </w:r>
      <w:r>
        <w:t xml:space="preserve">Watch for continued mid-single-digit growth in the core Norton/Avast/Avira franchise, driven by cross-sell (Norton cross-sell penetration was already above 26% of the base exiting FY26) and cohort ARPU gains (7%–10% higher than two years ago).</w:t>
      </w:r>
    </w:p>
    <w:p>
      <w:pPr>
        <w:pStyle w:val="Compact"/>
        <w:numPr>
          <w:ilvl w:val="0"/>
          <w:numId w:val="1004"/>
        </w:numPr>
      </w:pPr>
      <w:r>
        <w:rPr>
          <w:b/>
          <w:bCs/>
        </w:rPr>
        <w:t xml:space="preserve">Trust-Based Solutions momentum &amp; synergy metrics.</w:t>
      </w:r>
      <w:r>
        <w:t xml:space="preserve"> </w:t>
      </w:r>
      <w:r>
        <w:t xml:space="preserve">Investors will want an update on connected financial accounts (107 million in Q4, up 36% y/y) and the ~1/3 of the paid base now engaging with financial wellness — the leading indicator management has flagged for future cross-sell revenue synergies, including the $100M+ incremental annual revenue opportunity expected to begin in H2 FY27.</w:t>
      </w:r>
    </w:p>
    <w:p>
      <w:pPr>
        <w:pStyle w:val="Compact"/>
        <w:numPr>
          <w:ilvl w:val="0"/>
          <w:numId w:val="1004"/>
        </w:numPr>
      </w:pPr>
      <w:r>
        <w:rPr>
          <w:b/>
          <w:bCs/>
        </w:rPr>
        <w:t xml:space="preserve">LifeLock reimagined lineup</w:t>
      </w:r>
      <w:r>
        <w:t xml:space="preserve"> </w:t>
      </w:r>
      <w:r>
        <w:t xml:space="preserve">— early read on the new 3-tier product and its impact on retention/NPS (LifeLock NPS reached 73 in Q4).</w:t>
      </w:r>
    </w:p>
    <w:p>
      <w:pPr>
        <w:pStyle w:val="Compact"/>
        <w:numPr>
          <w:ilvl w:val="0"/>
          <w:numId w:val="1004"/>
        </w:numPr>
      </w:pPr>
      <w:r>
        <w:rPr>
          <w:b/>
          <w:bCs/>
        </w:rPr>
        <w:t xml:space="preserve">MoneyLion growth cadence</w:t>
      </w:r>
      <w:r>
        <w:t xml:space="preserve"> </w:t>
      </w:r>
      <w:r>
        <w:t xml:space="preserve">— whether the ~40% growth pace (against a company-guided ~30% market growth assumption) is sustained.</w:t>
      </w:r>
    </w:p>
    <w:p>
      <w:pPr>
        <w:pStyle w:val="Compact"/>
        <w:numPr>
          <w:ilvl w:val="0"/>
          <w:numId w:val="1004"/>
        </w:numPr>
      </w:pPr>
      <w:r>
        <w:rPr>
          <w:b/>
          <w:bCs/>
        </w:rPr>
        <w:t xml:space="preserve">Engine marketplace</w:t>
      </w:r>
      <w:r>
        <w:t xml:space="preserve"> </w:t>
      </w:r>
      <w:r>
        <w:t xml:space="preserve">— an increasingly important, high-margin distribution layer now embedded in Microsoft Copilot Discovery/MSN AI and Equifax's myEquifax.com, with nearly 400 million annual inquiries processed.</w:t>
      </w:r>
    </w:p>
    <w:p>
      <w:pPr>
        <w:pStyle w:val="Compact"/>
        <w:numPr>
          <w:ilvl w:val="0"/>
          <w:numId w:val="1004"/>
        </w:numPr>
      </w:pPr>
      <w:r>
        <w:rPr>
          <w:b/>
          <w:bCs/>
        </w:rPr>
        <w:t xml:space="preserve">Agentic AI positioning</w:t>
      </w:r>
      <w:r>
        <w:t xml:space="preserve"> </w:t>
      </w:r>
      <w:r>
        <w:t xml:space="preserve">— Norton Neo browser, the Agent Trust Hub, and new partnerships (xAI, OpenAI's Trusted Access for Cyber) represent a longer-duration option value story rather than a near-term revenue driver; management has said agentic revenue in FY27 will be "modest but growing."</w:t>
      </w:r>
    </w:p>
    <w:p>
      <w:pPr>
        <w:pStyle w:val="Compact"/>
        <w:numPr>
          <w:ilvl w:val="0"/>
          <w:numId w:val="1004"/>
        </w:numPr>
      </w:pPr>
      <w:r>
        <w:rPr>
          <w:b/>
          <w:bCs/>
        </w:rPr>
        <w:t xml:space="preserve">Capital allocation</w:t>
      </w:r>
      <w:r>
        <w:t xml:space="preserve"> </w:t>
      </w:r>
      <w:r>
        <w:t xml:space="preserve">— having hit 3x net leverage a year early, look for commentary on the pace of buybacks ($2.1 billion remaining under authorization) versus further delevering and tuck-in M&amp;A.</w:t>
      </w:r>
    </w:p>
    <w:p>
      <w:pPr>
        <w:pStyle w:val="Compact"/>
        <w:numPr>
          <w:ilvl w:val="0"/>
          <w:numId w:val="1004"/>
        </w:numPr>
      </w:pPr>
      <w:r>
        <w:rPr>
          <w:b/>
          <w:bCs/>
        </w:rPr>
        <w:t xml:space="preserve">Margins</w:t>
      </w:r>
      <w:r>
        <w:t xml:space="preserve"> </w:t>
      </w:r>
      <w:r>
        <w:t xml:space="preserve">— management guided to roughly stable blended ~50% non-GAAP operating margin (61% Cyber Safety / 30% Trust-Based Solutions) despite mix shift toward the lower-margin financial wellness segment; any deviation here would matter for the market's read on the "and not or" investment/margin narrative.</w:t>
      </w:r>
    </w:p>
    <w:bookmarkEnd w:id="13"/>
    <w:bookmarkStart w:id="14" w:name="risks-and-watch-items"/>
    <w:p>
      <w:pPr>
        <w:pStyle w:val="Heading2"/>
      </w:pPr>
      <w:r>
        <w:t xml:space="preserve">Risks and Watch Items</w:t>
      </w:r>
    </w:p>
    <w:p>
      <w:pPr>
        <w:pStyle w:val="Compact"/>
        <w:numPr>
          <w:ilvl w:val="0"/>
          <w:numId w:val="1005"/>
        </w:numPr>
      </w:pPr>
      <w:r>
        <w:rPr>
          <w:b/>
          <w:bCs/>
        </w:rPr>
        <w:t xml:space="preserve">Macro/consumer sentiment.</w:t>
      </w:r>
      <w:r>
        <w:t xml:space="preserve"> </w:t>
      </w:r>
      <w:r>
        <w:t xml:space="preserve">Some sell-side commentary (Zacks) flags that a slowing macro backdrop and softer consumer discretionary spending could pressure subscription renewals/upgrades — a risk to watch given GEN's direct-to-consumer subscription model.</w:t>
      </w:r>
    </w:p>
    <w:p>
      <w:pPr>
        <w:pStyle w:val="Compact"/>
        <w:numPr>
          <w:ilvl w:val="0"/>
          <w:numId w:val="1005"/>
        </w:numPr>
      </w:pPr>
      <w:r>
        <w:rPr>
          <w:b/>
          <w:bCs/>
        </w:rPr>
        <w:t xml:space="preserve">Comp dynamics.</w:t>
      </w:r>
      <w:r>
        <w:t xml:space="preserve"> </w:t>
      </w:r>
      <w:r>
        <w:t xml:space="preserve">Reported growth rates look smaller than pro forma growth rates this quarter because Q1 FY27 will be the first quarter fully lapping the MoneyLion acquisition; investors should track both figures to avoid misreading deceleration.</w:t>
      </w:r>
    </w:p>
    <w:p>
      <w:pPr>
        <w:pStyle w:val="Compact"/>
        <w:numPr>
          <w:ilvl w:val="0"/>
          <w:numId w:val="1005"/>
        </w:numPr>
      </w:pPr>
      <w:r>
        <w:rPr>
          <w:b/>
          <w:bCs/>
        </w:rPr>
        <w:t xml:space="preserve">Execution on synergy targets.</w:t>
      </w:r>
      <w:r>
        <w:t xml:space="preserve"> </w:t>
      </w:r>
      <w:r>
        <w:t xml:space="preserve">The "&gt;$100 million incremental annual revenue" synergy target beginning in H2 FY27 is a new, specific commitment that the market will hold management accountable to.</w:t>
      </w:r>
    </w:p>
    <w:p>
      <w:pPr>
        <w:pStyle w:val="Compact"/>
        <w:numPr>
          <w:ilvl w:val="0"/>
          <w:numId w:val="1005"/>
        </w:numPr>
      </w:pPr>
      <w:r>
        <w:rPr>
          <w:b/>
          <w:bCs/>
        </w:rPr>
        <w:t xml:space="preserve">Valuation/expectations reset.</w:t>
      </w:r>
      <w:r>
        <w:t xml:space="preserve"> </w:t>
      </w:r>
      <w:r>
        <w:t xml:space="preserve">With the stock up over 50% from April lows and analyst price targets (consensus roughly</w:t>
      </w:r>
      <w:r>
        <w:t xml:space="preserve"> </w:t>
      </w:r>
      <m:oMath>
        <m:r>
          <m:t>29</m:t>
        </m:r>
        <m:r>
          <m:rPr>
            <m:sty m:val="p"/>
          </m:rPr>
          <m:t>–</m:t>
        </m:r>
      </m:oMath>
      <w:r>
        <w:t xml:space="preserve">31, per aggregator data) not far above the current price, the risk/reward into the print is more balanced than it was a few months ago — an in-line quarter with reiterated (not raised) guidance could be treated as a "sell the news" event even if fundamentals remain solid.</w:t>
      </w:r>
    </w:p>
    <w:bookmarkEnd w:id="14"/>
    <w:bookmarkStart w:id="15" w:name="bottom-line"/>
    <w:p>
      <w:pPr>
        <w:pStyle w:val="Heading2"/>
      </w:pPr>
      <w:r>
        <w:t xml:space="preserve">Bottom Line</w:t>
      </w:r>
    </w:p>
    <w:p>
      <w:pPr>
        <w:pStyle w:val="FirstParagraph"/>
      </w:pPr>
      <w:r>
        <w:t xml:space="preserve">Gen Digital enters this print in its strongest position in years: an accelerating growth algorithm (8–10% revenue, mid-teens EPS), a deleveraged balance sheet, strong free cash flow, and a credible narrative around converging cyber safety and financial wellness plus an emerging "trust layer for AI agents" story. The Q1 FY27 print is unlikely to be a major surprise given tight alignment between company guidance (</w:t>
      </w:r>
      <m:oMath>
        <m:r>
          <m:t>1.30</m:t>
        </m:r>
        <m:r>
          <m:rPr>
            <m:sty m:val="p"/>
          </m:rPr>
          <m:t>–</m:t>
        </m:r>
      </m:oMath>
      <w:r>
        <w:t xml:space="preserve">1.325B revenue /</w:t>
      </w:r>
      <w:r>
        <w:t xml:space="preserve"> </w:t>
      </w:r>
      <m:oMath>
        <m:r>
          <m:t>0.68</m:t>
        </m:r>
        <m:r>
          <m:rPr>
            <m:sty m:val="p"/>
          </m:rPr>
          <m:t>–</m:t>
        </m:r>
      </m:oMath>
      <w:r>
        <w:t xml:space="preserve">0.70 EPS) and Street consensus, and a four-quarter beat streak. The more important through-line for investors will be</w:t>
      </w:r>
      <w:r>
        <w:t xml:space="preserve"> </w:t>
      </w:r>
      <w:r>
        <w:rPr>
          <w:b/>
          <w:bCs/>
        </w:rPr>
        <w:t xml:space="preserve">commentary and early metrics on the revenue synergy ramp</w:t>
      </w:r>
      <w:r>
        <w:t xml:space="preserve"> </w:t>
      </w:r>
      <w:r>
        <w:t xml:space="preserve">(connected accounts, cross-sell penetration, LifeLock reimagined lineup, Engine growth) that underpin the newly raised FY27 targets, since the stock's recent re-rating already reflects a good deal of optimism about that acceleration actually showing up in the numbers.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2026-08-06T00:57:44Z</dcterms:created>
  <dcterms:modified xsi:type="dcterms:W3CDTF">2026-08-06T00:57:44Z</dcterms:modified>
</cp:coreProperties>
</file>

<file path=docProps/custom.xml><?xml version="1.0" encoding="utf-8"?>
<Properties xmlns="http://schemas.openxmlformats.org/officeDocument/2006/custom-properties" xmlns:vt="http://schemas.openxmlformats.org/officeDocument/2006/docPropsVTypes"/>
</file>