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6bde9add096801599e8a0958110a1ae374e229"/>
    <w:p>
      <w:pPr>
        <w:pStyle w:val="Heading1"/>
      </w:pPr>
      <w:r>
        <w:t xml:space="preserve">GEN Digital Fiscal Q1 2027 Earnings Preview</w:t>
      </w:r>
    </w:p>
    <w:p>
      <w:pPr>
        <w:pStyle w:val="BlockText"/>
      </w:pPr>
      <w:r>
        <w:rPr>
          <w:b/>
          <w:bCs/>
        </w:rPr>
        <w:t xml:space="preserve">Timing note:</w:t>
      </w:r>
      <w:r>
        <w:t xml:space="preserve"> </w:t>
      </w:r>
      <w:r>
        <w:t xml:space="preserve">GEN is scheduled to report</w:t>
      </w:r>
      <w:r>
        <w:t xml:space="preserve"> </w:t>
      </w:r>
      <w:r>
        <w:rPr>
          <w:b/>
          <w:bCs/>
        </w:rPr>
        <w:t xml:space="preserve">today, Thursday, August 6, 2026</w:t>
      </w:r>
      <w:r>
        <w:t xml:space="preserve">, after the market closes—not tomorrow. The call begins at</w:t>
      </w:r>
      <w:r>
        <w:t xml:space="preserve"> </w:t>
      </w:r>
      <w:r>
        <w:rPr>
          <w:b/>
          <w:bCs/>
        </w:rPr>
        <w:t xml:space="preserve">5:00 p.m. ET / 2:00 p.m. PT</w:t>
      </w:r>
      <w:r>
        <w:t xml:space="preserve">. (</w:t>
      </w:r>
      <w:hyperlink r:id="rId9">
        <w:r>
          <w:rPr>
            <w:rStyle w:val="Hyperlink"/>
          </w:rPr>
          <w:t xml:space="preserve">newsroom.gendigital.com</w:t>
        </w:r>
      </w:hyperlink>
      <w:r>
        <w:t xml:space="preserve">)</w:t>
      </w:r>
    </w:p>
    <w:bookmarkStart w:id="10" w:name="investment-view-going-into-the-print"/>
    <w:p>
      <w:pPr>
        <w:pStyle w:val="Heading2"/>
      </w:pPr>
      <w:r>
        <w:t xml:space="preserve">Investment view going into the print</w:t>
      </w:r>
    </w:p>
    <w:p>
      <w:pPr>
        <w:pStyle w:val="FirstParagraph"/>
      </w:pPr>
      <w:r>
        <w:t xml:space="preserve">GEN enters earnings with strong operating momentum but a materially higher expectations bar. Fiscal 2026 ended with accelerating organic growth, record cash generation, improving leverage and an unusually confident FY27 outlook. At the same time, the stock closed at</w:t>
      </w:r>
      <w:r>
        <w:t xml:space="preserve"> </w:t>
      </w:r>
      <w:r>
        <w:rPr>
          <w:b/>
          <w:bCs/>
        </w:rPr>
        <w:t xml:space="preserve">$27.97 on August 5</w:t>
      </w:r>
      <w:r>
        <w:t xml:space="preserve">, up roughly</w:t>
      </w:r>
      <w:r>
        <w:t xml:space="preserve"> </w:t>
      </w:r>
      <w:r>
        <w:rPr>
          <w:b/>
          <w:bCs/>
        </w:rPr>
        <w:t xml:space="preserve">39% from its May 7 pre-earnings close</w:t>
      </w:r>
      <w:r>
        <w:t xml:space="preserve">.</w:t>
      </w:r>
    </w:p>
    <w:p>
      <w:pPr>
        <w:pStyle w:val="BodyText"/>
      </w:pPr>
      <w:r>
        <w:t xml:space="preserve">Accordingly, simply meeting Q1 guidance may not be enough to produce a strong reaction. The most important questions are:</w:t>
      </w:r>
    </w:p>
    <w:p>
      <w:pPr>
        <w:pStyle w:val="Compact"/>
        <w:numPr>
          <w:ilvl w:val="0"/>
          <w:numId w:val="1001"/>
        </w:numPr>
      </w:pPr>
      <w:r>
        <w:t xml:space="preserve">Can core Cyber Safety sustain mid-single-digit growth?</w:t>
      </w:r>
    </w:p>
    <w:p>
      <w:pPr>
        <w:pStyle w:val="Compact"/>
        <w:numPr>
          <w:ilvl w:val="0"/>
          <w:numId w:val="1001"/>
        </w:numPr>
      </w:pPr>
      <w:r>
        <w:t xml:space="preserve">Is MoneyLion maintaining approximately 30%–40% growth as comparisons normalize?</w:t>
      </w:r>
    </w:p>
    <w:p>
      <w:pPr>
        <w:pStyle w:val="Compact"/>
        <w:numPr>
          <w:ilvl w:val="0"/>
          <w:numId w:val="1001"/>
        </w:numPr>
      </w:pPr>
      <w:r>
        <w:t xml:space="preserve">Are the first cross-sell synergies between Cyber Safety, LifeLock and MoneyLion becoming measurable?</w:t>
      </w:r>
    </w:p>
    <w:p>
      <w:pPr>
        <w:pStyle w:val="Compact"/>
        <w:numPr>
          <w:ilvl w:val="0"/>
          <w:numId w:val="1001"/>
        </w:numPr>
      </w:pPr>
      <w:r>
        <w:t xml:space="preserve">Can GEN preserve roughly 50% consolidated non-GAAP margins despite a mix shift toward lower-margin financial wellness?</w:t>
      </w:r>
    </w:p>
    <w:p>
      <w:pPr>
        <w:pStyle w:val="Compact"/>
        <w:numPr>
          <w:ilvl w:val="0"/>
          <w:numId w:val="1001"/>
        </w:numPr>
      </w:pPr>
      <w:r>
        <w:t xml:space="preserve">Will management reaffirm—or raise—its ambitious FY27 guidance?</w:t>
      </w:r>
    </w:p>
    <w:bookmarkEnd w:id="10"/>
    <w:bookmarkStart w:id="14"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GEN guidance</w:t>
            </w:r>
          </w:p>
        </w:tc>
        <w:tc>
          <w:tcPr/>
          <w:p>
            <w:pPr>
              <w:pStyle w:val="Compact"/>
              <w:jc w:val="right"/>
            </w:pPr>
            <w:r>
              <w:t xml:space="preserve">Approximate consensus</w:t>
            </w:r>
          </w:p>
        </w:tc>
        <w:tc>
          <w:tcPr/>
          <w:p>
            <w:pPr>
              <w:pStyle w:val="Compact"/>
              <w:jc w:val="right"/>
            </w:pPr>
            <w:r>
              <w:t xml:space="preserve">Prior-year reported result</w:t>
            </w:r>
          </w:p>
        </w:tc>
      </w:tr>
      <w:tr>
        <w:tc>
          <w:tcPr/>
          <w:p>
            <w:pPr>
              <w:pStyle w:val="Compact"/>
            </w:pPr>
            <w:r>
              <w:t xml:space="preserve">Revenue</w:t>
            </w:r>
          </w:p>
        </w:tc>
        <w:tc>
          <w:tcPr/>
          <w:p>
            <w:pPr>
              <w:pStyle w:val="Compact"/>
              <w:jc w:val="right"/>
            </w:pPr>
            <m:oMath>
              <m:r>
                <m:t>1.300</m:t>
              </m:r>
              <m:r>
                <m:t>B</m:t>
              </m:r>
              <m:r>
                <m:rPr>
                  <m:sty m:val="p"/>
                </m:rPr>
                <m:t>–</m:t>
              </m:r>
            </m:oMath>
            <w:r>
              <w:rPr>
                <w:b/>
                <w:bCs/>
              </w:rPr>
              <w:t xml:space="preserve">1.325B</w:t>
            </w:r>
          </w:p>
        </w:tc>
        <w:tc>
          <w:tcPr/>
          <w:p>
            <w:pPr>
              <w:pStyle w:val="Compact"/>
              <w:jc w:val="right"/>
            </w:pPr>
            <w:r>
              <w:t xml:space="preserve">~$1.31B</w:t>
            </w:r>
          </w:p>
        </w:tc>
        <w:tc>
          <w:tcPr/>
          <w:p>
            <w:pPr>
              <w:pStyle w:val="Compact"/>
              <w:jc w:val="right"/>
            </w:pPr>
            <w:r>
              <w:t xml:space="preserve">$1.257B</w:t>
            </w:r>
          </w:p>
        </w:tc>
      </w:tr>
      <w:tr>
        <w:tc>
          <w:tcPr/>
          <w:p>
            <w:pPr>
              <w:pStyle w:val="Compact"/>
            </w:pPr>
            <w:r>
              <w:t xml:space="preserve">Non-GAAP EPS</w:t>
            </w:r>
          </w:p>
        </w:tc>
        <w:tc>
          <w:tcPr/>
          <w:p>
            <w:pPr>
              <w:pStyle w:val="Compact"/>
              <w:jc w:val="right"/>
            </w:pPr>
            <m:oMath>
              <m:r>
                <m:t>0.68</m:t>
              </m:r>
              <m:r>
                <m:rPr>
                  <m:sty m:val="p"/>
                </m:rPr>
                <m:t>–</m:t>
              </m:r>
            </m:oMath>
            <w:r>
              <w:rPr>
                <w:b/>
                <w:bCs/>
              </w:rPr>
              <w:t xml:space="preserve">0.70</w:t>
            </w:r>
          </w:p>
        </w:tc>
        <w:tc>
          <w:tcPr/>
          <w:p>
            <w:pPr>
              <w:pStyle w:val="Compact"/>
              <w:jc w:val="right"/>
            </w:pPr>
            <m:oMath>
              <m:r>
                <m:t>0.68</m:t>
              </m:r>
              <m:r>
                <m:rPr>
                  <m:sty m:val="p"/>
                </m:rPr>
                <m:t>–</m:t>
              </m:r>
            </m:oMath>
            <w:r>
              <w:t xml:space="preserve">0.69</w:t>
            </w:r>
          </w:p>
        </w:tc>
        <w:tc>
          <w:tcPr/>
          <w:p>
            <w:pPr>
              <w:pStyle w:val="Compact"/>
              <w:jc w:val="right"/>
            </w:pPr>
            <w:r>
              <w:t xml:space="preserve">$0.64</w:t>
            </w:r>
          </w:p>
        </w:tc>
      </w:tr>
      <w:tr>
        <w:tc>
          <w:tcPr/>
          <w:p>
            <w:pPr>
              <w:pStyle w:val="Compact"/>
            </w:pPr>
            <w:r>
              <w:t xml:space="preserve">FY27 revenue</w:t>
            </w:r>
          </w:p>
        </w:tc>
        <w:tc>
          <w:tcPr/>
          <w:p>
            <w:pPr>
              <w:pStyle w:val="Compact"/>
              <w:jc w:val="right"/>
            </w:pPr>
            <m:oMath>
              <m:r>
                <m:t>5.325</m:t>
              </m:r>
              <m:r>
                <m:t>B</m:t>
              </m:r>
              <m:r>
                <m:rPr>
                  <m:sty m:val="p"/>
                </m:rPr>
                <m:t>–</m:t>
              </m:r>
            </m:oMath>
            <w:r>
              <w:rPr>
                <w:b/>
                <w:bCs/>
              </w:rPr>
              <w:t xml:space="preserve">5.425B</w:t>
            </w:r>
          </w:p>
        </w:tc>
        <w:tc>
          <w:tcPr/>
          <w:p>
            <w:pPr>
              <w:pStyle w:val="Compact"/>
              <w:jc w:val="right"/>
            </w:pPr>
            <w:r>
              <w:t xml:space="preserve">—</w:t>
            </w:r>
          </w:p>
        </w:tc>
        <w:tc>
          <w:tcPr/>
          <w:p>
            <w:pPr>
              <w:pStyle w:val="Compact"/>
              <w:jc w:val="right"/>
            </w:pPr>
            <w:r>
              <w:t xml:space="preserve">$5.000B in FY26</w:t>
            </w:r>
          </w:p>
        </w:tc>
      </w:tr>
      <w:tr>
        <w:tc>
          <w:tcPr/>
          <w:p>
            <w:pPr>
              <w:pStyle w:val="Compact"/>
            </w:pPr>
            <w:r>
              <w:t xml:space="preserve">FY27 non-GAAP EPS</w:t>
            </w:r>
          </w:p>
        </w:tc>
        <w:tc>
          <w:tcPr/>
          <w:p>
            <w:pPr>
              <w:pStyle w:val="Compact"/>
              <w:jc w:val="right"/>
            </w:pPr>
            <m:oMath>
              <m:r>
                <m:t>2.85</m:t>
              </m:r>
              <m:r>
                <m:rPr>
                  <m:sty m:val="p"/>
                </m:rPr>
                <m:t>–</m:t>
              </m:r>
            </m:oMath>
            <w:r>
              <w:rPr>
                <w:b/>
                <w:bCs/>
              </w:rPr>
              <w:t xml:space="preserve">2.95</w:t>
            </w:r>
          </w:p>
        </w:tc>
        <w:tc>
          <w:tcPr/>
          <w:p>
            <w:pPr>
              <w:pStyle w:val="Compact"/>
              <w:jc w:val="right"/>
            </w:pPr>
            <w:r>
              <w:t xml:space="preserve">—</w:t>
            </w:r>
          </w:p>
        </w:tc>
        <w:tc>
          <w:tcPr/>
          <w:p>
            <w:pPr>
              <w:pStyle w:val="Compact"/>
              <w:jc w:val="right"/>
            </w:pPr>
            <w:r>
              <w:t xml:space="preserve">$2.56 in FY26</w:t>
            </w:r>
          </w:p>
        </w:tc>
      </w:tr>
    </w:tbl>
    <w:p>
      <w:pPr>
        <w:pStyle w:val="BodyText"/>
      </w:pPr>
      <w:r>
        <w:t xml:space="preserve">Published consensus sources cluster around</w:t>
      </w:r>
      <w:r>
        <w:t xml:space="preserve"> </w:t>
      </w:r>
      <m:oMath>
        <m:r>
          <m:t>1.30</m:t>
        </m:r>
        <m:r>
          <m:t>b</m:t>
        </m:r>
        <m:r>
          <m:t>i</m:t>
        </m:r>
        <m:r>
          <m:t>l</m:t>
        </m:r>
        <m:r>
          <m:t>l</m:t>
        </m:r>
        <m:r>
          <m:t>i</m:t>
        </m:r>
        <m:r>
          <m:t>o</m:t>
        </m:r>
        <m:r>
          <m:t>n</m:t>
        </m:r>
        <m:r>
          <m:rPr>
            <m:sty m:val="p"/>
          </m:rPr>
          <m:t>–</m:t>
        </m:r>
      </m:oMath>
      <w:r>
        <w:rPr>
          <w:b/>
          <w:bCs/>
        </w:rPr>
        <w:t xml:space="preserve">1.31 billion of revenue and</w:t>
      </w:r>
      <w:r>
        <w:rPr>
          <w:b/>
          <w:bCs/>
        </w:rPr>
        <w:t xml:space="preserve"> </w:t>
      </w:r>
      <m:oMath>
        <m:r>
          <m:t>0.68</m:t>
        </m:r>
        <m:r>
          <m:rPr>
            <m:sty m:val="p"/>
          </m:rPr>
          <m:t>–</m:t>
        </m:r>
      </m:oMath>
      <w:r>
        <w:rPr>
          <w:b/>
          <w:bCs/>
        </w:rPr>
        <w:t xml:space="preserve">0.69 of EPS</w:t>
      </w:r>
      <w:r>
        <w:t xml:space="preserve">, effectively the middle of management’s guidance. (</w:t>
      </w:r>
      <w:hyperlink r:id="rId11">
        <w:r>
          <w:rPr>
            <w:rStyle w:val="Hyperlink"/>
          </w:rPr>
          <w:t xml:space="preserve">tickerleague.com</w:t>
        </w:r>
      </w:hyperlink>
      <w:r>
        <w:t xml:space="preserve">)</w:t>
      </w:r>
    </w:p>
    <w:bookmarkStart w:id="13" w:name="the-comparison-requires-care"/>
    <w:p>
      <w:pPr>
        <w:pStyle w:val="Heading3"/>
      </w:pPr>
      <w:r>
        <w:t xml:space="preserve">The comparison requires care</w:t>
      </w:r>
    </w:p>
    <w:p>
      <w:pPr>
        <w:pStyle w:val="FirstParagraph"/>
      </w:pPr>
      <w:r>
        <w:t xml:space="preserve">At the midpoint, Q1 guidance implies only about</w:t>
      </w:r>
      <w:r>
        <w:t xml:space="preserve"> </w:t>
      </w:r>
      <w:r>
        <w:rPr>
          <w:b/>
          <w:bCs/>
        </w:rPr>
        <w:t xml:space="preserve">4% reported revenue growth</w:t>
      </w:r>
      <w:r>
        <w:t xml:space="preserve"> </w:t>
      </w:r>
      <w:r>
        <w:t xml:space="preserve">and</w:t>
      </w:r>
      <w:r>
        <w:t xml:space="preserve"> </w:t>
      </w:r>
      <w:r>
        <w:rPr>
          <w:b/>
          <w:bCs/>
        </w:rPr>
        <w:t xml:space="preserve">8% reported EPS growth</w:t>
      </w:r>
      <w:r>
        <w:t xml:space="preserve">. Management, however, describes the outlook as</w:t>
      </w:r>
      <w:r>
        <w:t xml:space="preserve"> </w:t>
      </w:r>
      <w:r>
        <w:rPr>
          <w:b/>
          <w:bCs/>
        </w:rPr>
        <w:t xml:space="preserve">8%–10% pro forma revenue growth and 13%–17% pro forma EPS growth</w:t>
      </w:r>
      <w:r>
        <w:t xml:space="preserve">.</w:t>
      </w:r>
    </w:p>
    <w:p>
      <w:pPr>
        <w:pStyle w:val="BodyText"/>
      </w:pPr>
      <w:r>
        <w:t xml:space="preserve">The gap primarily reflects:</w:t>
      </w:r>
    </w:p>
    <w:p>
      <w:pPr>
        <w:pStyle w:val="Compact"/>
        <w:numPr>
          <w:ilvl w:val="0"/>
          <w:numId w:val="1002"/>
        </w:numPr>
      </w:pPr>
      <w:r>
        <w:t xml:space="preserve">The extra week included in fiscal Q1 2026.</w:t>
      </w:r>
    </w:p>
    <w:p>
      <w:pPr>
        <w:pStyle w:val="Compact"/>
        <w:numPr>
          <w:ilvl w:val="0"/>
          <w:numId w:val="1002"/>
        </w:numPr>
      </w:pPr>
      <w:r>
        <w:t xml:space="preserve">The treatment of MoneyLion as though it had been owned for the comparable prior-year period.</w:t>
      </w:r>
    </w:p>
    <w:p>
      <w:pPr>
        <w:pStyle w:val="Compact"/>
        <w:numPr>
          <w:ilvl w:val="0"/>
          <w:numId w:val="1002"/>
        </w:numPr>
      </w:pPr>
      <w:r>
        <w:t xml:space="preserve">The continuing benefit of share repurchases and lower leverage.</w:t>
      </w:r>
    </w:p>
    <w:p>
      <w:pPr>
        <w:pStyle w:val="FirstParagraph"/>
      </w:pPr>
      <w:r>
        <w:t xml:space="preserve">Investors should focus on the disclosed</w:t>
      </w:r>
      <w:r>
        <w:t xml:space="preserve"> </w:t>
      </w:r>
      <w:r>
        <w:rPr>
          <w:b/>
          <w:bCs/>
        </w:rPr>
        <w:t xml:space="preserve">pro forma growth rates</w:t>
      </w:r>
      <w:r>
        <w:t xml:space="preserve">, while also checking that the underlying reported-dollar progression remains credible. GEN’s official outlook calls for Q1 revenue of</w:t>
      </w:r>
      <w:r>
        <w:t xml:space="preserve"> </w:t>
      </w:r>
      <m:oMath>
        <m:r>
          <m:t>1.300</m:t>
        </m:r>
        <m:r>
          <m:t>b</m:t>
        </m:r>
        <m:r>
          <m:t>i</m:t>
        </m:r>
        <m:r>
          <m:t>l</m:t>
        </m:r>
        <m:r>
          <m:t>l</m:t>
        </m:r>
        <m:r>
          <m:t>i</m:t>
        </m:r>
        <m:r>
          <m:t>o</m:t>
        </m:r>
        <m:r>
          <m:t>n</m:t>
        </m:r>
        <m:r>
          <m:rPr>
            <m:sty m:val="p"/>
          </m:rPr>
          <m:t>–</m:t>
        </m:r>
      </m:oMath>
      <w:r>
        <w:t xml:space="preserve">1.325 billion and non-GAAP EPS of</w:t>
      </w:r>
      <w:r>
        <w:t xml:space="preserve"> </w:t>
      </w:r>
      <m:oMath>
        <m:r>
          <m:t>0.68</m:t>
        </m:r>
        <m:r>
          <m:rPr>
            <m:sty m:val="p"/>
          </m:rPr>
          <m:t>–</m:t>
        </m:r>
      </m:oMath>
      <w:r>
        <w:t xml:space="preserve">0.70; full-year guidance is</w:t>
      </w:r>
      <w:r>
        <w:t xml:space="preserve"> </w:t>
      </w:r>
      <m:oMath>
        <m:r>
          <m:t>5.325</m:t>
        </m:r>
        <m:r>
          <m:t>b</m:t>
        </m:r>
        <m:r>
          <m:t>i</m:t>
        </m:r>
        <m:r>
          <m:t>l</m:t>
        </m:r>
        <m:r>
          <m:t>l</m:t>
        </m:r>
        <m:r>
          <m:t>i</m:t>
        </m:r>
        <m:r>
          <m:t>o</m:t>
        </m:r>
        <m:r>
          <m:t>n</m:t>
        </m:r>
        <m:r>
          <m:rPr>
            <m:sty m:val="p"/>
          </m:rPr>
          <m:t>–</m:t>
        </m:r>
      </m:oMath>
      <w:r>
        <w:t xml:space="preserve">5.425 billion and</w:t>
      </w:r>
      <w:r>
        <w:t xml:space="preserve"> </w:t>
      </w:r>
      <m:oMath>
        <m:r>
          <m:t>2.85</m:t>
        </m:r>
        <m:r>
          <m:rPr>
            <m:sty m:val="p"/>
          </m:rPr>
          <m:t>–</m:t>
        </m:r>
      </m:oMath>
      <w:r>
        <w:t xml:space="preserve">2.95, respectively. (</w:t>
      </w:r>
      <w:hyperlink r:id="rId12">
        <w:r>
          <w:rPr>
            <w:rStyle w:val="Hyperlink"/>
          </w:rPr>
          <w:t xml:space="preserve">investor.gendigital.com</w:t>
        </w:r>
      </w:hyperlink>
      <w:r>
        <w:t xml:space="preserve">)</w:t>
      </w:r>
    </w:p>
    <w:p>
      <w:r>
        <w:pict>
          <v:rect style="width:0;height:1.5pt" o:hralign="center" o:hrstd="t" o:hr="t"/>
        </w:pict>
      </w:r>
    </w:p>
    <w:bookmarkEnd w:id="13"/>
    <w:bookmarkEnd w:id="14"/>
    <w:bookmarkStart w:id="23" w:name="what-matters-most"/>
    <w:p>
      <w:pPr>
        <w:pStyle w:val="Heading2"/>
      </w:pPr>
      <w:r>
        <w:t xml:space="preserve">What matters most</w:t>
      </w:r>
    </w:p>
    <w:bookmarkStart w:id="15" w:name="X4923bf307bb449216fabf406867bc423c3824f2"/>
    <w:p>
      <w:pPr>
        <w:pStyle w:val="Heading3"/>
      </w:pPr>
      <w:r>
        <w:t xml:space="preserve">1. Cyber Safety must remain a dependable mid-single-digit grower</w:t>
      </w:r>
    </w:p>
    <w:p>
      <w:pPr>
        <w:pStyle w:val="FirstParagraph"/>
      </w:pPr>
      <w:r>
        <w:t xml:space="preserve">Cyber Safety remains GEN’s economic foundation. It generated</w:t>
      </w:r>
      <w:r>
        <w:t xml:space="preserve"> </w:t>
      </w:r>
      <w:r>
        <w:rPr>
          <w:b/>
          <w:bCs/>
        </w:rPr>
        <w:t xml:space="preserve">$3.34 billion of FY26 revenue</w:t>
      </w:r>
      <w:r>
        <w:t xml:space="preserve">, carries an approximately</w:t>
      </w:r>
      <w:r>
        <w:t xml:space="preserve"> </w:t>
      </w:r>
      <w:r>
        <w:rPr>
          <w:b/>
          <w:bCs/>
        </w:rPr>
        <w:t xml:space="preserve">61% segment margin</w:t>
      </w:r>
      <w:r>
        <w:t xml:space="preserve">, and funds investment in financial wellness and AI.</w:t>
      </w:r>
    </w:p>
    <w:p>
      <w:pPr>
        <w:pStyle w:val="BodyText"/>
      </w:pPr>
      <w:r>
        <w:t xml:space="preserve">Last quarter’s indicators were constructive:</w:t>
      </w:r>
    </w:p>
    <w:p>
      <w:pPr>
        <w:pStyle w:val="Compact"/>
        <w:numPr>
          <w:ilvl w:val="0"/>
          <w:numId w:val="1003"/>
        </w:numPr>
      </w:pPr>
      <w:r>
        <w:t xml:space="preserve">Q4 Cyber Safety revenue growth accelerated to approximately 4%.</w:t>
      </w:r>
    </w:p>
    <w:p>
      <w:pPr>
        <w:pStyle w:val="Compact"/>
        <w:numPr>
          <w:ilvl w:val="0"/>
          <w:numId w:val="1003"/>
        </w:numPr>
      </w:pPr>
      <w:r>
        <w:t xml:space="preserve">Cyber Safety subscribers grew sequentially for a tenth consecutive quarter.</w:t>
      </w:r>
    </w:p>
    <w:p>
      <w:pPr>
        <w:pStyle w:val="Compact"/>
        <w:numPr>
          <w:ilvl w:val="0"/>
          <w:numId w:val="1003"/>
        </w:numPr>
      </w:pPr>
      <w:r>
        <w:t xml:space="preserve">Retention and cohort ARPU improved.</w:t>
      </w:r>
    </w:p>
    <w:p>
      <w:pPr>
        <w:pStyle w:val="Compact"/>
        <w:numPr>
          <w:ilvl w:val="0"/>
          <w:numId w:val="1003"/>
        </w:numPr>
      </w:pPr>
      <w:r>
        <w:t xml:space="preserve">Norton cross-sell penetration exceeded 26%.</w:t>
      </w:r>
    </w:p>
    <w:p>
      <w:pPr>
        <w:pStyle w:val="Compact"/>
        <w:numPr>
          <w:ilvl w:val="0"/>
          <w:numId w:val="1003"/>
        </w:numPr>
      </w:pPr>
      <w:r>
        <w:t xml:space="preserve">Higher-tier memberships surpassed $500 million of annualized bookings.</w:t>
      </w:r>
    </w:p>
    <w:p>
      <w:pPr>
        <w:pStyle w:val="Compact"/>
        <w:numPr>
          <w:ilvl w:val="0"/>
          <w:numId w:val="1003"/>
        </w:numPr>
      </w:pPr>
      <w:r>
        <w:t xml:space="preserve">Membership adoption approached 60% across Norton, Avast and Avira.</w:t>
      </w:r>
    </w:p>
    <w:p>
      <w:pPr>
        <w:pStyle w:val="FirstParagraph"/>
      </w:pPr>
      <w:r>
        <w:t xml:space="preserve">For Q1, the central question is whether Cyber Safety can again deliver approximately</w:t>
      </w:r>
      <w:r>
        <w:t xml:space="preserve"> </w:t>
      </w:r>
      <w:r>
        <w:rPr>
          <w:b/>
          <w:bCs/>
        </w:rPr>
        <w:t xml:space="preserve">4%–5% growth</w:t>
      </w:r>
      <w:r>
        <w:t xml:space="preserve"> </w:t>
      </w:r>
      <w:r>
        <w:t xml:space="preserve">without relying excessively on pricing or aggressive marketing.</w:t>
      </w:r>
    </w:p>
    <w:p>
      <w:pPr>
        <w:pStyle w:val="BodyText"/>
      </w:pPr>
      <w:r>
        <w:rPr>
          <w:b/>
          <w:bCs/>
        </w:rPr>
        <w:t xml:space="preserve">Positive signals</w:t>
      </w:r>
    </w:p>
    <w:p>
      <w:pPr>
        <w:pStyle w:val="Compact"/>
        <w:numPr>
          <w:ilvl w:val="0"/>
          <w:numId w:val="1004"/>
        </w:numPr>
      </w:pPr>
      <w:r>
        <w:t xml:space="preserve">Another sequential increase in subscribers.</w:t>
      </w:r>
    </w:p>
    <w:p>
      <w:pPr>
        <w:pStyle w:val="Compact"/>
        <w:numPr>
          <w:ilvl w:val="0"/>
          <w:numId w:val="1004"/>
        </w:numPr>
      </w:pPr>
      <w:r>
        <w:t xml:space="preserve">Stable or improving retention.</w:t>
      </w:r>
    </w:p>
    <w:p>
      <w:pPr>
        <w:pStyle w:val="Compact"/>
        <w:numPr>
          <w:ilvl w:val="0"/>
          <w:numId w:val="1004"/>
        </w:numPr>
      </w:pPr>
      <w:r>
        <w:t xml:space="preserve">Further ARPU expansion.</w:t>
      </w:r>
    </w:p>
    <w:p>
      <w:pPr>
        <w:pStyle w:val="Compact"/>
        <w:numPr>
          <w:ilvl w:val="0"/>
          <w:numId w:val="1004"/>
        </w:numPr>
      </w:pPr>
      <w:r>
        <w:t xml:space="preserve">Cross-sell penetration above the prior 26% level.</w:t>
      </w:r>
    </w:p>
    <w:p>
      <w:pPr>
        <w:pStyle w:val="Compact"/>
        <w:numPr>
          <w:ilvl w:val="0"/>
          <w:numId w:val="1004"/>
        </w:numPr>
      </w:pPr>
      <w:r>
        <w:t xml:space="preserve">Continued growth in mobile and higher-tier Norton memberships.</w:t>
      </w:r>
    </w:p>
    <w:p>
      <w:pPr>
        <w:pStyle w:val="FirstParagraph"/>
      </w:pPr>
      <w:r>
        <w:rPr>
          <w:b/>
          <w:bCs/>
        </w:rPr>
        <w:t xml:space="preserve">Warning signs</w:t>
      </w:r>
    </w:p>
    <w:p>
      <w:pPr>
        <w:pStyle w:val="Compact"/>
        <w:numPr>
          <w:ilvl w:val="0"/>
          <w:numId w:val="1005"/>
        </w:numPr>
      </w:pPr>
      <w:r>
        <w:t xml:space="preserve">Slower subscriber additions.</w:t>
      </w:r>
    </w:p>
    <w:p>
      <w:pPr>
        <w:pStyle w:val="Compact"/>
        <w:numPr>
          <w:ilvl w:val="0"/>
          <w:numId w:val="1005"/>
        </w:numPr>
      </w:pPr>
      <w:r>
        <w:t xml:space="preserve">Retention pressure from pricing or free platform-native security tools.</w:t>
      </w:r>
    </w:p>
    <w:p>
      <w:pPr>
        <w:pStyle w:val="Compact"/>
        <w:numPr>
          <w:ilvl w:val="0"/>
          <w:numId w:val="1005"/>
        </w:numPr>
      </w:pPr>
      <w:r>
        <w:t xml:space="preserve">Higher acquisition spending without comparable bookings growth.</w:t>
      </w:r>
    </w:p>
    <w:p>
      <w:pPr>
        <w:pStyle w:val="Compact"/>
        <w:numPr>
          <w:ilvl w:val="0"/>
          <w:numId w:val="1005"/>
        </w:numPr>
      </w:pPr>
      <w:r>
        <w:t xml:space="preserve">Cyber Safety growth slipping toward low single digits.</w:t>
      </w:r>
    </w:p>
    <w:bookmarkEnd w:id="15"/>
    <w:bookmarkStart w:id="16" w:name="X28a4068c76acadc963a99b447e50bff9c8c7b35"/>
    <w:p>
      <w:pPr>
        <w:pStyle w:val="Heading3"/>
      </w:pPr>
      <w:r>
        <w:t xml:space="preserve">2. Trust-Based Solutions is now the primary growth engine</w:t>
      </w:r>
    </w:p>
    <w:p>
      <w:pPr>
        <w:pStyle w:val="FirstParagraph"/>
      </w:pPr>
      <w:r>
        <w:t xml:space="preserve">Trust-Based Solutions—LifeLock, MoneyLion and Engine—generated</w:t>
      </w:r>
      <w:r>
        <w:t xml:space="preserve"> </w:t>
      </w:r>
      <w:r>
        <w:rPr>
          <w:b/>
          <w:bCs/>
        </w:rPr>
        <w:t xml:space="preserve">$1.66 billion of FY26 revenue</w:t>
      </w:r>
      <w:r>
        <w:t xml:space="preserve"> </w:t>
      </w:r>
      <w:r>
        <w:t xml:space="preserve">and grew approximately</w:t>
      </w:r>
      <w:r>
        <w:t xml:space="preserve"> </w:t>
      </w:r>
      <w:r>
        <w:rPr>
          <w:b/>
          <w:bCs/>
        </w:rPr>
        <w:t xml:space="preserve">23% on a pro forma basis</w:t>
      </w:r>
      <w:r>
        <w:t xml:space="preserve">. Q4 growth was about 20%, while management said MoneyLion itself grew nearly 40% and was approaching a $1 billion annual revenue run rate.</w:t>
      </w:r>
    </w:p>
    <w:p>
      <w:pPr>
        <w:pStyle w:val="BodyText"/>
      </w:pPr>
      <w:r>
        <w:t xml:space="preserve">This segment now has enough scale that any deceleration would materially affect the consolidated growth story. Investors should watch:</w:t>
      </w:r>
    </w:p>
    <w:p>
      <w:pPr>
        <w:pStyle w:val="Compact"/>
        <w:numPr>
          <w:ilvl w:val="0"/>
          <w:numId w:val="1006"/>
        </w:numPr>
      </w:pPr>
      <w:r>
        <w:t xml:space="preserve">Trust-Based Solutions revenue growth relative to the recent 20% level.</w:t>
      </w:r>
    </w:p>
    <w:p>
      <w:pPr>
        <w:pStyle w:val="Compact"/>
        <w:numPr>
          <w:ilvl w:val="0"/>
          <w:numId w:val="1006"/>
        </w:numPr>
      </w:pPr>
      <w:r>
        <w:t xml:space="preserve">MoneyLion personal-finance transaction volumes.</w:t>
      </w:r>
    </w:p>
    <w:p>
      <w:pPr>
        <w:pStyle w:val="Compact"/>
        <w:numPr>
          <w:ilvl w:val="0"/>
          <w:numId w:val="1006"/>
        </w:numPr>
      </w:pPr>
      <w:r>
        <w:t xml:space="preserve">Repeat-customer behavior.</w:t>
      </w:r>
    </w:p>
    <w:p>
      <w:pPr>
        <w:pStyle w:val="Compact"/>
        <w:numPr>
          <w:ilvl w:val="0"/>
          <w:numId w:val="1006"/>
        </w:numPr>
      </w:pPr>
      <w:r>
        <w:t xml:space="preserve">Engine inquiry volume, partner additions and marketplace conversion.</w:t>
      </w:r>
    </w:p>
    <w:p>
      <w:pPr>
        <w:pStyle w:val="Compact"/>
        <w:numPr>
          <w:ilvl w:val="0"/>
          <w:numId w:val="1006"/>
        </w:numPr>
      </w:pPr>
      <w:r>
        <w:t xml:space="preserve">LifeLock mobile revenue, retention and upgrades.</w:t>
      </w:r>
    </w:p>
    <w:p>
      <w:pPr>
        <w:pStyle w:val="Compact"/>
        <w:numPr>
          <w:ilvl w:val="0"/>
          <w:numId w:val="1006"/>
        </w:numPr>
      </w:pPr>
      <w:r>
        <w:t xml:space="preserve">Connected financial accounts.</w:t>
      </w:r>
    </w:p>
    <w:p>
      <w:pPr>
        <w:pStyle w:val="FirstParagraph"/>
      </w:pPr>
      <w:r>
        <w:t xml:space="preserve">The most useful leading indicator may be</w:t>
      </w:r>
      <w:r>
        <w:t xml:space="preserve"> </w:t>
      </w:r>
      <w:r>
        <w:rPr>
          <w:b/>
          <w:bCs/>
        </w:rPr>
        <w:t xml:space="preserve">connected financial accounts</w:t>
      </w:r>
      <w:r>
        <w:t xml:space="preserve">, which reached</w:t>
      </w:r>
      <w:r>
        <w:t xml:space="preserve"> </w:t>
      </w:r>
      <w:r>
        <w:rPr>
          <w:b/>
          <w:bCs/>
        </w:rPr>
        <w:t xml:space="preserve">107 million in Q4, up 36% year over year</w:t>
      </w:r>
      <w:r>
        <w:t xml:space="preserve">. Management considers account connections the first step toward monetizing the overlap between protection and financial decision-making.</w:t>
      </w:r>
    </w:p>
    <w:bookmarkEnd w:id="16"/>
    <w:bookmarkStart w:id="18" w:name="X174c41b6c74d6882cb2aed556e9f30771ab1d1e"/>
    <w:p>
      <w:pPr>
        <w:pStyle w:val="Heading3"/>
      </w:pPr>
      <w:r>
        <w:t xml:space="preserve">3. The report needs evidence that the MoneyLion thesis is progressing</w:t>
      </w:r>
    </w:p>
    <w:p>
      <w:pPr>
        <w:pStyle w:val="FirstParagraph"/>
      </w:pPr>
      <w:r>
        <w:t xml:space="preserve">GEN’s long-term argument is not merely that MoneyLion adds faster growth. The strategic thesis is that Cyber Safety creates consumer trust, while MoneyLion and Engine monetize a broader financial relationship.</w:t>
      </w:r>
    </w:p>
    <w:p>
      <w:pPr>
        <w:pStyle w:val="BodyText"/>
      </w:pPr>
      <w:r>
        <w:t xml:space="preserve">Management expects</w:t>
      </w:r>
      <w:r>
        <w:t xml:space="preserve"> </w:t>
      </w:r>
      <w:r>
        <w:rPr>
          <w:b/>
          <w:bCs/>
        </w:rPr>
        <w:t xml:space="preserve">more than $100 million of incremental annual revenue</w:t>
      </w:r>
      <w:r>
        <w:t xml:space="preserve"> </w:t>
      </w:r>
      <w:r>
        <w:t xml:space="preserve">from embedded financial wellness, partner expansion and Engine growth, beginning in the second half of FY27 and scaling thereafter. The call should clarify:</w:t>
      </w:r>
    </w:p>
    <w:p>
      <w:pPr>
        <w:pStyle w:val="Compact"/>
        <w:numPr>
          <w:ilvl w:val="0"/>
          <w:numId w:val="1007"/>
        </w:numPr>
      </w:pPr>
      <w:r>
        <w:t xml:space="preserve">Whether that timing remains intact.</w:t>
      </w:r>
    </w:p>
    <w:p>
      <w:pPr>
        <w:pStyle w:val="Compact"/>
        <w:numPr>
          <w:ilvl w:val="0"/>
          <w:numId w:val="1007"/>
        </w:numPr>
      </w:pPr>
      <w:r>
        <w:t xml:space="preserve">How much is already contracted or visible.</w:t>
      </w:r>
    </w:p>
    <w:p>
      <w:pPr>
        <w:pStyle w:val="Compact"/>
        <w:numPr>
          <w:ilvl w:val="0"/>
          <w:numId w:val="1007"/>
        </w:numPr>
      </w:pPr>
      <w:r>
        <w:t xml:space="preserve">Which products are driving the first revenue synergies.</w:t>
      </w:r>
    </w:p>
    <w:p>
      <w:pPr>
        <w:pStyle w:val="Compact"/>
        <w:numPr>
          <w:ilvl w:val="0"/>
          <w:numId w:val="1007"/>
        </w:numPr>
      </w:pPr>
      <w:r>
        <w:t xml:space="preserve">Whether the $100 million figure is a run rate or recognized revenue expectation.</w:t>
      </w:r>
    </w:p>
    <w:p>
      <w:pPr>
        <w:pStyle w:val="Compact"/>
        <w:numPr>
          <w:ilvl w:val="0"/>
          <w:numId w:val="1007"/>
        </w:numPr>
      </w:pPr>
      <w:r>
        <w:t xml:space="preserve">What incremental marketing or product investment is required.</w:t>
      </w:r>
    </w:p>
    <w:p>
      <w:pPr>
        <w:pStyle w:val="FirstParagraph"/>
      </w:pPr>
      <w:r>
        <w:t xml:space="preserve">The July 20 launch of</w:t>
      </w:r>
      <w:r>
        <w:t xml:space="preserve"> </w:t>
      </w:r>
      <w:r>
        <w:rPr>
          <w:b/>
          <w:bCs/>
        </w:rPr>
        <w:t xml:space="preserve">MoneyLion One</w:t>
      </w:r>
      <w:r>
        <w:t xml:space="preserve"> </w:t>
      </w:r>
      <w:r>
        <w:t xml:space="preserve">illustrates the direction of the strategy: a membership combining banking benefits, savings, investing and LifeLock-powered identity protection. Because it launched after the likely close of Q1, it should matter more for forward commentary than for the quarter’s reported results. (</w:t>
      </w:r>
      <w:hyperlink r:id="rId17">
        <w:r>
          <w:rPr>
            <w:rStyle w:val="Hyperlink"/>
          </w:rPr>
          <w:t xml:space="preserve">newsroom.gendigital.com</w:t>
        </w:r>
      </w:hyperlink>
      <w:r>
        <w:t xml:space="preserve">)</w:t>
      </w:r>
    </w:p>
    <w:bookmarkEnd w:id="18"/>
    <w:bookmarkStart w:id="19" w:name="X5279aaab9832838aacd05018a7a2bde4597570c"/>
    <w:p>
      <w:pPr>
        <w:pStyle w:val="Heading3"/>
      </w:pPr>
      <w:r>
        <w:t xml:space="preserve">4. Margin durability is as important as revenue growth</w:t>
      </w:r>
    </w:p>
    <w:p>
      <w:pPr>
        <w:pStyle w:val="FirstParagraph"/>
      </w:pPr>
      <w:r>
        <w:t xml:space="preserve">GEN operates at an unusually high consolidated non-GAAP margin—approximately</w:t>
      </w:r>
      <w:r>
        <w:t xml:space="preserve"> </w:t>
      </w:r>
      <w:r>
        <w:rPr>
          <w:b/>
          <w:bCs/>
        </w:rPr>
        <w:t xml:space="preserve">50%</w:t>
      </w:r>
      <w:r>
        <w:t xml:space="preserve">—but its two segments have very different economics: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jc w:val="right"/>
            </w:pPr>
            <w:r>
              <w:t xml:space="preserve">Recent margin</w:t>
            </w:r>
          </w:p>
        </w:tc>
      </w:tr>
      <w:tr>
        <w:tc>
          <w:tcPr/>
          <w:p>
            <w:pPr>
              <w:pStyle w:val="Compact"/>
            </w:pPr>
            <w:r>
              <w:t xml:space="preserve">Cyber Safety</w:t>
            </w:r>
          </w:p>
        </w:tc>
        <w:tc>
          <w:tcPr/>
          <w:p>
            <w:pPr>
              <w:pStyle w:val="Compact"/>
              <w:jc w:val="right"/>
            </w:pPr>
            <w:r>
              <w:t xml:space="preserve">~61%</w:t>
            </w:r>
          </w:p>
        </w:tc>
      </w:tr>
      <w:tr>
        <w:tc>
          <w:tcPr/>
          <w:p>
            <w:pPr>
              <w:pStyle w:val="Compact"/>
            </w:pPr>
            <w:r>
              <w:t xml:space="preserve">Trust-Based Solutions</w:t>
            </w:r>
          </w:p>
        </w:tc>
        <w:tc>
          <w:tcPr/>
          <w:p>
            <w:pPr>
              <w:pStyle w:val="Compact"/>
              <w:jc w:val="right"/>
            </w:pPr>
            <w:r>
              <w:t xml:space="preserve">~30%</w:t>
            </w:r>
          </w:p>
        </w:tc>
      </w:tr>
      <w:tr>
        <w:tc>
          <w:tcPr/>
          <w:p>
            <w:pPr>
              <w:pStyle w:val="Compact"/>
            </w:pPr>
            <w:r>
              <w:t xml:space="preserve">Consolidated</w:t>
            </w:r>
          </w:p>
        </w:tc>
        <w:tc>
          <w:tcPr/>
          <w:p>
            <w:pPr>
              <w:pStyle w:val="Compact"/>
              <w:jc w:val="right"/>
            </w:pPr>
            <w:r>
              <w:t xml:space="preserve">~50%</w:t>
            </w:r>
          </w:p>
        </w:tc>
      </w:tr>
    </w:tbl>
    <w:p>
      <w:pPr>
        <w:pStyle w:val="BodyText"/>
      </w:pPr>
      <w:r>
        <w:t xml:space="preserve">A shift toward faster-growing Trust-Based Solutions naturally creates mix pressure. Management believes operating efficiencies and AI-enabled productivity can offset that pressure while preserving the existing segment-margin architecture.</w:t>
      </w:r>
    </w:p>
    <w:p>
      <w:pPr>
        <w:pStyle w:val="BodyText"/>
      </w:pPr>
      <w:r>
        <w:t xml:space="preserve">The favorable outcome would be:</w:t>
      </w:r>
    </w:p>
    <w:p>
      <w:pPr>
        <w:pStyle w:val="Compact"/>
        <w:numPr>
          <w:ilvl w:val="0"/>
          <w:numId w:val="1008"/>
        </w:numPr>
      </w:pPr>
      <w:r>
        <w:t xml:space="preserve">Consolidated non-GAAP operating margin around 50% or better.</w:t>
      </w:r>
    </w:p>
    <w:p>
      <w:pPr>
        <w:pStyle w:val="Compact"/>
        <w:numPr>
          <w:ilvl w:val="0"/>
          <w:numId w:val="1008"/>
        </w:numPr>
      </w:pPr>
      <w:r>
        <w:t xml:space="preserve">Cyber Safety remaining close to 61%.</w:t>
      </w:r>
    </w:p>
    <w:p>
      <w:pPr>
        <w:pStyle w:val="Compact"/>
        <w:numPr>
          <w:ilvl w:val="0"/>
          <w:numId w:val="1008"/>
        </w:numPr>
      </w:pPr>
      <w:r>
        <w:t xml:space="preserve">Trust-Based Solutions holding around 30%.</w:t>
      </w:r>
    </w:p>
    <w:p>
      <w:pPr>
        <w:pStyle w:val="Compact"/>
        <w:numPr>
          <w:ilvl w:val="0"/>
          <w:numId w:val="1008"/>
        </w:numPr>
      </w:pPr>
      <w:r>
        <w:t xml:space="preserve">EPS growing faster than revenue through buybacks, lower interest costs and disciplined expenses.</w:t>
      </w:r>
    </w:p>
    <w:p>
      <w:pPr>
        <w:pStyle w:val="FirstParagraph"/>
      </w:pPr>
      <w:r>
        <w:t xml:space="preserve">A margin result materially below 50%, particularly if accompanied by higher marketing or AI costs, would challenge the quality of the acceleration.</w:t>
      </w:r>
    </w:p>
    <w:bookmarkEnd w:id="19"/>
    <w:bookmarkStart w:id="21" w:name="Xf046ee26ef745a0940da4226fb299515c2630be"/>
    <w:p>
      <w:pPr>
        <w:pStyle w:val="Heading3"/>
      </w:pPr>
      <w:r>
        <w:t xml:space="preserve">5. Treat AI as optionality—not yet as a major revenue contributor</w:t>
      </w:r>
    </w:p>
    <w:p>
      <w:pPr>
        <w:pStyle w:val="FirstParagraph"/>
      </w:pPr>
      <w:r>
        <w:t xml:space="preserve">GEN has positioned itself as a consumer “trust layer” for AI through scam detection, agent security and partnerships with major model providers. Norton Genie expanded into Claude near the end of the quarter after previously becoming available through ChatGPT. (</w:t>
      </w:r>
      <w:hyperlink r:id="rId20">
        <w:r>
          <w:rPr>
            <w:rStyle w:val="Hyperlink"/>
          </w:rPr>
          <w:t xml:space="preserve">newsroom.gendigital.com</w:t>
        </w:r>
      </w:hyperlink>
      <w:r>
        <w:t xml:space="preserve">)</w:t>
      </w:r>
    </w:p>
    <w:p>
      <w:pPr>
        <w:pStyle w:val="BodyText"/>
      </w:pPr>
      <w:r>
        <w:t xml:space="preserve">Management has been appropriately explicit that</w:t>
      </w:r>
      <w:r>
        <w:t xml:space="preserve"> </w:t>
      </w:r>
      <w:r>
        <w:rPr>
          <w:b/>
          <w:bCs/>
        </w:rPr>
        <w:t xml:space="preserve">agentic AI revenue will remain modest in FY27</w:t>
      </w:r>
      <w:r>
        <w:t xml:space="preserve">. Investors should therefore avoid valuing the company on near-term AI revenue. More useful disclosures would include:</w:t>
      </w:r>
    </w:p>
    <w:p>
      <w:pPr>
        <w:pStyle w:val="Compact"/>
        <w:numPr>
          <w:ilvl w:val="0"/>
          <w:numId w:val="1009"/>
        </w:numPr>
      </w:pPr>
      <w:r>
        <w:t xml:space="preserve">Engagement generated by Genie integrations.</w:t>
      </w:r>
    </w:p>
    <w:p>
      <w:pPr>
        <w:pStyle w:val="Compact"/>
        <w:numPr>
          <w:ilvl w:val="0"/>
          <w:numId w:val="1009"/>
        </w:numPr>
      </w:pPr>
      <w:r>
        <w:t xml:space="preserve">Traffic or customer acquisition from AI assistants.</w:t>
      </w:r>
    </w:p>
    <w:p>
      <w:pPr>
        <w:pStyle w:val="Compact"/>
        <w:numPr>
          <w:ilvl w:val="0"/>
          <w:numId w:val="1009"/>
        </w:numPr>
      </w:pPr>
      <w:r>
        <w:t xml:space="preserve">Conversion from free AI tools to paid Norton memberships.</w:t>
      </w:r>
    </w:p>
    <w:p>
      <w:pPr>
        <w:pStyle w:val="Compact"/>
        <w:numPr>
          <w:ilvl w:val="0"/>
          <w:numId w:val="1009"/>
        </w:numPr>
      </w:pPr>
      <w:r>
        <w:t xml:space="preserve">Usage and adoption of Norton Neo or agent-security capabilities.</w:t>
      </w:r>
    </w:p>
    <w:p>
      <w:pPr>
        <w:pStyle w:val="Compact"/>
        <w:numPr>
          <w:ilvl w:val="0"/>
          <w:numId w:val="1009"/>
        </w:numPr>
      </w:pPr>
      <w:r>
        <w:t xml:space="preserve">Model-inference costs and their effect on gross margin.</w:t>
      </w:r>
    </w:p>
    <w:p>
      <w:pPr>
        <w:pStyle w:val="Compact"/>
        <w:numPr>
          <w:ilvl w:val="0"/>
          <w:numId w:val="1009"/>
        </w:numPr>
      </w:pPr>
      <w:r>
        <w:t xml:space="preserve">Whether AI is generating measurable support, engineering or marketing savings.</w:t>
      </w:r>
    </w:p>
    <w:p>
      <w:pPr>
        <w:pStyle w:val="FirstParagraph"/>
      </w:pPr>
      <w:r>
        <w:t xml:space="preserve">The strongest outcome would be evidence that AI improves distribution and retention in the existing subscription model rather than requiring a new, lower-margin business model.</w:t>
      </w:r>
    </w:p>
    <w:bookmarkEnd w:id="21"/>
    <w:bookmarkStart w:id="22" w:name="X191cb02b9f77eb5a5f7f2aee4422d57c4340c9a"/>
    <w:p>
      <w:pPr>
        <w:pStyle w:val="Heading3"/>
      </w:pPr>
      <w:r>
        <w:t xml:space="preserve">6. Capital allocation remains a meaningful part of the EPS story</w:t>
      </w:r>
    </w:p>
    <w:p>
      <w:pPr>
        <w:pStyle w:val="FirstParagraph"/>
      </w:pPr>
      <w:r>
        <w:t xml:space="preserve">GEN ended FY26 at approximately</w:t>
      </w:r>
      <w:r>
        <w:t xml:space="preserve"> </w:t>
      </w:r>
      <w:r>
        <w:rPr>
          <w:b/>
          <w:bCs/>
        </w:rPr>
        <w:t xml:space="preserve">3.0× net leverage</w:t>
      </w:r>
      <w:r>
        <w:t xml:space="preserve">, a year ahead of plan, after producing</w:t>
      </w:r>
      <w:r>
        <w:t xml:space="preserve"> </w:t>
      </w:r>
      <m:oMath>
        <m:r>
          <m:t>1.52</m:t>
        </m:r>
        <m:r>
          <m:t>b</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rPr>
            <m:sty m:val="p"/>
          </m:rPr>
          <m:t>.</m:t>
        </m:r>
        <m:r>
          <m:t>I</m:t>
        </m:r>
        <m:r>
          <m:t>t</m:t>
        </m:r>
        <m:r>
          <m:t>a</m:t>
        </m:r>
        <m:r>
          <m:t>l</m:t>
        </m:r>
        <m:r>
          <m:t>s</m:t>
        </m:r>
        <m:r>
          <m:t>o</m:t>
        </m:r>
        <m:r>
          <m:t>h</m:t>
        </m:r>
        <m:r>
          <m:t>a</m:t>
        </m:r>
        <m:r>
          <m:t>d</m:t>
        </m:r>
        <m:r>
          <m:t>r</m:t>
        </m:r>
        <m:r>
          <m:t>o</m:t>
        </m:r>
        <m:r>
          <m:t>u</m:t>
        </m:r>
        <m:r>
          <m:t>g</m:t>
        </m:r>
        <m:r>
          <m:t>h</m:t>
        </m:r>
        <m:r>
          <m:t>l</m:t>
        </m:r>
        <m:r>
          <m:t>y</m:t>
        </m:r>
        <m:r>
          <m:rPr>
            <m:sty m:val="p"/>
          </m:rPr>
          <m:t>*</m:t>
        </m:r>
        <m:r>
          <m:rPr>
            <m:sty m:val="p"/>
          </m:rPr>
          <m:t>*</m:t>
        </m:r>
      </m:oMath>
      <w:r>
        <w:rPr>
          <w:b/>
          <w:bCs/>
        </w:rPr>
        <w:t xml:space="preserve">2.1 billion remaining under its repurchase authorization</w:t>
      </w:r>
      <w:r>
        <w:t xml:space="preserve">. FY26 revenue was $5.0 billion and non-GAAP EPS was $2.56. (</w:t>
      </w:r>
      <w:hyperlink r:id="rId12">
        <w:r>
          <w:rPr>
            <w:rStyle w:val="Hyperlink"/>
          </w:rPr>
          <w:t xml:space="preserve">investor.gendigital.com</w:t>
        </w:r>
      </w:hyperlink>
      <w:r>
        <w:t xml:space="preserve">)</w:t>
      </w:r>
    </w:p>
    <w:p>
      <w:pPr>
        <w:pStyle w:val="BodyText"/>
      </w:pPr>
      <w:r>
        <w:t xml:space="preserve">At the August 5 close:</w:t>
      </w:r>
    </w:p>
    <w:p>
      <w:pPr>
        <w:pStyle w:val="Compact"/>
        <w:numPr>
          <w:ilvl w:val="0"/>
          <w:numId w:val="1010"/>
        </w:numPr>
      </w:pPr>
      <w:r>
        <w:t xml:space="preserve">The shares trade at roughly</w:t>
      </w:r>
      <w:r>
        <w:t xml:space="preserve"> </w:t>
      </w:r>
      <w:r>
        <w:rPr>
          <w:b/>
          <w:bCs/>
        </w:rPr>
        <w:t xml:space="preserve">9.6× the $2.90 midpoint of FY27 EPS guidance</w:t>
      </w:r>
      <w:r>
        <w:t xml:space="preserve">.</w:t>
      </w:r>
    </w:p>
    <w:p>
      <w:pPr>
        <w:pStyle w:val="Compact"/>
        <w:numPr>
          <w:ilvl w:val="0"/>
          <w:numId w:val="1010"/>
        </w:numPr>
      </w:pPr>
      <w:r>
        <w:t xml:space="preserve">The trailing FY26 free-cash-flow yield is approximately</w:t>
      </w:r>
      <w:r>
        <w:t xml:space="preserve"> </w:t>
      </w:r>
      <w:r>
        <w:rPr>
          <w:b/>
          <w:bCs/>
        </w:rPr>
        <w:t xml:space="preserve">9%</w:t>
      </w:r>
      <w:r>
        <w:t xml:space="preserve">, using the latest diluted share count as an approximation.</w:t>
      </w:r>
    </w:p>
    <w:p>
      <w:pPr>
        <w:pStyle w:val="Compact"/>
        <w:numPr>
          <w:ilvl w:val="0"/>
          <w:numId w:val="1010"/>
        </w:numPr>
      </w:pPr>
      <w:r>
        <w:t xml:space="preserve">The quarterly dividend is $0.125, or $0.50 annualized.</w:t>
      </w:r>
    </w:p>
    <w:p>
      <w:pPr>
        <w:pStyle w:val="FirstParagraph"/>
      </w:pPr>
      <w:r>
        <w:t xml:space="preserve">That valuation looks inexpensive relative to the company’s mid-teens EPS objective, but it must be considered alongside approximately</w:t>
      </w:r>
      <w:r>
        <w:t xml:space="preserve"> </w:t>
      </w:r>
      <w:r>
        <w:rPr>
          <w:b/>
          <w:bCs/>
        </w:rPr>
        <w:t xml:space="preserve">$7.8 billion of net debt</w:t>
      </w:r>
      <w:r>
        <w:t xml:space="preserve"> </w:t>
      </w:r>
      <w:r>
        <w:t xml:space="preserve">at fiscal year-end. A continuation of simultaneous debt reduction and share repurchases would strengthen the equity story. Conversely, large new acquisitions before leverage falls further could be received poorly.</w:t>
      </w:r>
    </w:p>
    <w:p>
      <w:r>
        <w:pict>
          <v:rect style="width:0;height:1.5pt" o:hralign="center" o:hrstd="t" o:hr="t"/>
        </w:pict>
      </w:r>
    </w:p>
    <w:bookmarkEnd w:id="22"/>
    <w:bookmarkEnd w:id="23"/>
    <w:bookmarkStart w:id="24" w:name="key-questions-for-management"/>
    <w:p>
      <w:pPr>
        <w:pStyle w:val="Heading2"/>
      </w:pPr>
      <w:r>
        <w:t xml:space="preserve">Key questions for management</w:t>
      </w:r>
    </w:p>
    <w:p>
      <w:pPr>
        <w:pStyle w:val="Compact"/>
        <w:numPr>
          <w:ilvl w:val="0"/>
          <w:numId w:val="1011"/>
        </w:numPr>
      </w:pPr>
      <w:r>
        <w:rPr>
          <w:b/>
          <w:bCs/>
        </w:rPr>
        <w:t xml:space="preserve">Cyber Safety:</w:t>
      </w:r>
      <w:r>
        <w:t xml:space="preserve"> </w:t>
      </w:r>
      <w:r>
        <w:t xml:space="preserve">Did the segment maintain mid-single-digit bookings and revenue growth?</w:t>
      </w:r>
    </w:p>
    <w:p>
      <w:pPr>
        <w:pStyle w:val="Compact"/>
        <w:numPr>
          <w:ilvl w:val="0"/>
          <w:numId w:val="1011"/>
        </w:numPr>
      </w:pPr>
      <w:r>
        <w:rPr>
          <w:b/>
          <w:bCs/>
        </w:rPr>
        <w:t xml:space="preserve">Customers:</w:t>
      </w:r>
      <w:r>
        <w:t xml:space="preserve"> </w:t>
      </w:r>
      <w:r>
        <w:t xml:space="preserve">Did paid customers increase from the 79 million reported at fiscal year-end?</w:t>
      </w:r>
    </w:p>
    <w:p>
      <w:pPr>
        <w:pStyle w:val="Compact"/>
        <w:numPr>
          <w:ilvl w:val="0"/>
          <w:numId w:val="1011"/>
        </w:numPr>
      </w:pPr>
      <w:r>
        <w:rPr>
          <w:b/>
          <w:bCs/>
        </w:rPr>
        <w:t xml:space="preserve">Retention:</w:t>
      </w:r>
      <w:r>
        <w:t xml:space="preserve"> </w:t>
      </w:r>
      <w:r>
        <w:t xml:space="preserve">Are renewal rates still stable or improving across Norton, Avast and LifeLock?</w:t>
      </w:r>
    </w:p>
    <w:p>
      <w:pPr>
        <w:pStyle w:val="Compact"/>
        <w:numPr>
          <w:ilvl w:val="0"/>
          <w:numId w:val="1011"/>
        </w:numPr>
      </w:pPr>
      <w:r>
        <w:rPr>
          <w:b/>
          <w:bCs/>
        </w:rPr>
        <w:t xml:space="preserve">MoneyLion:</w:t>
      </w:r>
      <w:r>
        <w:t xml:space="preserve"> </w:t>
      </w:r>
      <w:r>
        <w:t xml:space="preserve">Is growth still tracking comfortably above the approximately 30% market-growth framework management discussed last quarter?</w:t>
      </w:r>
    </w:p>
    <w:p>
      <w:pPr>
        <w:pStyle w:val="Compact"/>
        <w:numPr>
          <w:ilvl w:val="0"/>
          <w:numId w:val="1011"/>
        </w:numPr>
      </w:pPr>
      <w:r>
        <w:rPr>
          <w:b/>
          <w:bCs/>
        </w:rPr>
        <w:t xml:space="preserve">Connected accounts:</w:t>
      </w:r>
      <w:r>
        <w:t xml:space="preserve"> </w:t>
      </w:r>
      <w:r>
        <w:t xml:space="preserve">Did the 107 million figure continue to increase, and how quickly are those connections monetizing?</w:t>
      </w:r>
    </w:p>
    <w:p>
      <w:pPr>
        <w:pStyle w:val="Compact"/>
        <w:numPr>
          <w:ilvl w:val="0"/>
          <w:numId w:val="1011"/>
        </w:numPr>
      </w:pPr>
      <w:r>
        <w:rPr>
          <w:b/>
          <w:bCs/>
        </w:rPr>
        <w:t xml:space="preserve">Synergies:</w:t>
      </w:r>
      <w:r>
        <w:t xml:space="preserve"> </w:t>
      </w:r>
      <w:r>
        <w:t xml:space="preserve">Is the expected $100 million-plus incremental annual revenue contribution still on schedule for the second half?</w:t>
      </w:r>
    </w:p>
    <w:p>
      <w:pPr>
        <w:pStyle w:val="Compact"/>
        <w:numPr>
          <w:ilvl w:val="0"/>
          <w:numId w:val="1011"/>
        </w:numPr>
      </w:pPr>
      <w:r>
        <w:rPr>
          <w:b/>
          <w:bCs/>
        </w:rPr>
        <w:t xml:space="preserve">Margins:</w:t>
      </w:r>
      <w:r>
        <w:t xml:space="preserve"> </w:t>
      </w:r>
      <w:r>
        <w:t xml:space="preserve">Can GEN hold approximately 50% consolidated margins as Trust-Based Solutions becomes a larger percentage of revenue?</w:t>
      </w:r>
    </w:p>
    <w:p>
      <w:pPr>
        <w:pStyle w:val="Compact"/>
        <w:numPr>
          <w:ilvl w:val="0"/>
          <w:numId w:val="1011"/>
        </w:numPr>
      </w:pPr>
      <w:r>
        <w:rPr>
          <w:b/>
          <w:bCs/>
        </w:rPr>
        <w:t xml:space="preserve">Guidance:</w:t>
      </w:r>
      <w:r>
        <w:t xml:space="preserve"> </w:t>
      </w:r>
      <w:r>
        <w:t xml:space="preserve">Is the full-year 8%–10% pro forma revenue growth range conservative after Q1?</w:t>
      </w:r>
    </w:p>
    <w:p>
      <w:pPr>
        <w:pStyle w:val="Compact"/>
        <w:numPr>
          <w:ilvl w:val="0"/>
          <w:numId w:val="1011"/>
        </w:numPr>
      </w:pPr>
      <w:r>
        <w:rPr>
          <w:b/>
          <w:bCs/>
        </w:rPr>
        <w:t xml:space="preserve">AI economics:</w:t>
      </w:r>
      <w:r>
        <w:t xml:space="preserve"> </w:t>
      </w:r>
      <w:r>
        <w:t xml:space="preserve">What are adoption, conversion and per-user inference costs?</w:t>
      </w:r>
    </w:p>
    <w:p>
      <w:pPr>
        <w:pStyle w:val="Compact"/>
        <w:numPr>
          <w:ilvl w:val="0"/>
          <w:numId w:val="1011"/>
        </w:numPr>
      </w:pPr>
      <w:r>
        <w:rPr>
          <w:b/>
          <w:bCs/>
        </w:rPr>
        <w:t xml:space="preserve">Capital allocation:</w:t>
      </w:r>
      <w:r>
        <w:t xml:space="preserve"> </w:t>
      </w:r>
      <w:r>
        <w:t xml:space="preserve">How should investors divide expected free cash flow among buybacks, debt reduction and M&amp;A?</w:t>
      </w:r>
    </w:p>
    <w:p>
      <w:r>
        <w:pict>
          <v:rect style="width:0;height:1.5pt" o:hralign="center" o:hrstd="t" o:hr="t"/>
        </w:pict>
      </w:r>
    </w:p>
    <w:bookmarkEnd w:id="24"/>
    <w:bookmarkStart w:id="28" w:name="scenario-framework"/>
    <w:p>
      <w:pPr>
        <w:pStyle w:val="Heading2"/>
      </w:pPr>
      <w:r>
        <w:t xml:space="preserve">Scenario framework</w:t>
      </w:r>
    </w:p>
    <w:bookmarkStart w:id="25" w:name="bull-case"/>
    <w:p>
      <w:pPr>
        <w:pStyle w:val="Heading3"/>
      </w:pPr>
      <w:r>
        <w:t xml:space="preserve">Bull case</w:t>
      </w:r>
    </w:p>
    <w:p>
      <w:pPr>
        <w:pStyle w:val="Compact"/>
        <w:numPr>
          <w:ilvl w:val="0"/>
          <w:numId w:val="1012"/>
        </w:numPr>
      </w:pPr>
      <w:r>
        <w:t xml:space="preserve">Revenue above</w:t>
      </w:r>
      <w:r>
        <w:t xml:space="preserve"> </w:t>
      </w:r>
      <m:oMath>
        <m:r>
          <m:t>1.325</m:t>
        </m:r>
        <m:r>
          <m:t>b</m:t>
        </m:r>
        <m:r>
          <m:t>i</m:t>
        </m:r>
        <m:r>
          <m:t>l</m:t>
        </m:r>
        <m:r>
          <m:t>l</m:t>
        </m:r>
        <m:r>
          <m:t>i</m:t>
        </m:r>
        <m:r>
          <m:t>o</m:t>
        </m:r>
        <m:r>
          <m:t>n</m:t>
        </m:r>
        <m:r>
          <m:rPr>
            <m:sty m:val="p"/>
          </m:rPr>
          <m:t>*</m:t>
        </m:r>
        <m:r>
          <m:rPr>
            <m:sty m:val="p"/>
          </m:rPr>
          <m:t>*</m:t>
        </m:r>
        <m:r>
          <m:t>a</m:t>
        </m:r>
        <m:r>
          <m:t>n</m:t>
        </m:r>
        <m:r>
          <m:t>d</m:t>
        </m:r>
        <m:r>
          <m:t>E</m:t>
        </m:r>
        <m:r>
          <m:t>P</m:t>
        </m:r>
        <m:r>
          <m:t>S</m:t>
        </m:r>
        <m:r>
          <m:t>a</m:t>
        </m:r>
        <m:r>
          <m:t>b</m:t>
        </m:r>
        <m:r>
          <m:t>o</m:t>
        </m:r>
        <m:r>
          <m:t>v</m:t>
        </m:r>
        <m:r>
          <m:t>e</m:t>
        </m:r>
        <m:r>
          <m:rPr>
            <m:sty m:val="p"/>
          </m:rPr>
          <m:t>*</m:t>
        </m:r>
        <m:r>
          <m:rPr>
            <m:sty m:val="p"/>
          </m:rPr>
          <m:t>*</m:t>
        </m:r>
      </m:oMath>
      <w:r>
        <w:rPr>
          <w:b/>
          <w:bCs/>
        </w:rPr>
        <w:t xml:space="preserve">0.70</w:t>
      </w:r>
      <w:r>
        <w:t xml:space="preserve">.</w:t>
      </w:r>
    </w:p>
    <w:p>
      <w:pPr>
        <w:pStyle w:val="Compact"/>
        <w:numPr>
          <w:ilvl w:val="0"/>
          <w:numId w:val="1012"/>
        </w:numPr>
      </w:pPr>
      <w:r>
        <w:t xml:space="preserve">Cyber Safety growth at or above 5%.</w:t>
      </w:r>
    </w:p>
    <w:p>
      <w:pPr>
        <w:pStyle w:val="Compact"/>
        <w:numPr>
          <w:ilvl w:val="0"/>
          <w:numId w:val="1012"/>
        </w:numPr>
      </w:pPr>
      <w:r>
        <w:t xml:space="preserve">Trust-Based Solutions growth remaining above 20%.</w:t>
      </w:r>
    </w:p>
    <w:p>
      <w:pPr>
        <w:pStyle w:val="Compact"/>
        <w:numPr>
          <w:ilvl w:val="0"/>
          <w:numId w:val="1012"/>
        </w:numPr>
      </w:pPr>
      <w:r>
        <w:t xml:space="preserve">Continued sequential customer growth and improving retention.</w:t>
      </w:r>
    </w:p>
    <w:p>
      <w:pPr>
        <w:pStyle w:val="Compact"/>
        <w:numPr>
          <w:ilvl w:val="0"/>
          <w:numId w:val="1012"/>
        </w:numPr>
      </w:pPr>
      <w:r>
        <w:t xml:space="preserve">Consolidated margin near or above 50%.</w:t>
      </w:r>
    </w:p>
    <w:p>
      <w:pPr>
        <w:pStyle w:val="Compact"/>
        <w:numPr>
          <w:ilvl w:val="0"/>
          <w:numId w:val="1012"/>
        </w:numPr>
      </w:pPr>
      <w:r>
        <w:t xml:space="preserve">More concrete evidence behind second-half financial-wellness synergies.</w:t>
      </w:r>
    </w:p>
    <w:p>
      <w:pPr>
        <w:pStyle w:val="Compact"/>
        <w:numPr>
          <w:ilvl w:val="0"/>
          <w:numId w:val="1012"/>
        </w:numPr>
      </w:pPr>
      <w:r>
        <w:t xml:space="preserve">FY27 guidance raised or management signals performance is tracking toward the upper end.</w:t>
      </w:r>
    </w:p>
    <w:p>
      <w:pPr>
        <w:pStyle w:val="FirstParagraph"/>
      </w:pPr>
      <w:r>
        <w:t xml:space="preserve">This would support the view that GEN has structurally transitioned from a mid-single-digit revenue company to a high-single-digit grower with mid-teens EPS growth.</w:t>
      </w:r>
    </w:p>
    <w:bookmarkEnd w:id="25"/>
    <w:bookmarkStart w:id="26" w:name="base-case"/>
    <w:p>
      <w:pPr>
        <w:pStyle w:val="Heading3"/>
      </w:pPr>
      <w:r>
        <w:t xml:space="preserve">Base case</w:t>
      </w:r>
    </w:p>
    <w:p>
      <w:pPr>
        <w:pStyle w:val="Compact"/>
        <w:numPr>
          <w:ilvl w:val="0"/>
          <w:numId w:val="1013"/>
        </w:numPr>
      </w:pPr>
      <w:r>
        <w:t xml:space="preserve">Results near the middle or upper half of guidance.</w:t>
      </w:r>
    </w:p>
    <w:p>
      <w:pPr>
        <w:pStyle w:val="Compact"/>
        <w:numPr>
          <w:ilvl w:val="0"/>
          <w:numId w:val="1013"/>
        </w:numPr>
      </w:pPr>
      <w:r>
        <w:t xml:space="preserve">Cyber Safety grows around 4%.</w:t>
      </w:r>
    </w:p>
    <w:p>
      <w:pPr>
        <w:pStyle w:val="Compact"/>
        <w:numPr>
          <w:ilvl w:val="0"/>
          <w:numId w:val="1013"/>
        </w:numPr>
      </w:pPr>
      <w:r>
        <w:t xml:space="preserve">Trust-Based Solutions grows in the high teens to low 20s.</w:t>
      </w:r>
    </w:p>
    <w:p>
      <w:pPr>
        <w:pStyle w:val="Compact"/>
        <w:numPr>
          <w:ilvl w:val="0"/>
          <w:numId w:val="1013"/>
        </w:numPr>
      </w:pPr>
      <w:r>
        <w:t xml:space="preserve">Margins remain broadly stable.</w:t>
      </w:r>
    </w:p>
    <w:p>
      <w:pPr>
        <w:pStyle w:val="Compact"/>
        <w:numPr>
          <w:ilvl w:val="0"/>
          <w:numId w:val="1013"/>
        </w:numPr>
      </w:pPr>
      <w:r>
        <w:t xml:space="preserve">FY27 guidance is reiterated.</w:t>
      </w:r>
    </w:p>
    <w:p>
      <w:pPr>
        <w:pStyle w:val="Compact"/>
        <w:numPr>
          <w:ilvl w:val="0"/>
          <w:numId w:val="1013"/>
        </w:numPr>
      </w:pPr>
      <w:r>
        <w:t xml:space="preserve">Management provides positive but limited synergy details.</w:t>
      </w:r>
    </w:p>
    <w:p>
      <w:pPr>
        <w:pStyle w:val="FirstParagraph"/>
      </w:pPr>
      <w:r>
        <w:t xml:space="preserve">Fundamentally this would be satisfactory, but the stock reaction could be muted after the strong post-May rally.</w:t>
      </w:r>
    </w:p>
    <w:bookmarkEnd w:id="26"/>
    <w:bookmarkStart w:id="27" w:name="bear-case"/>
    <w:p>
      <w:pPr>
        <w:pStyle w:val="Heading3"/>
      </w:pPr>
      <w:r>
        <w:t xml:space="preserve">Bear case</w:t>
      </w:r>
    </w:p>
    <w:p>
      <w:pPr>
        <w:pStyle w:val="Compact"/>
        <w:numPr>
          <w:ilvl w:val="0"/>
          <w:numId w:val="1014"/>
        </w:numPr>
      </w:pPr>
      <w:r>
        <w:t xml:space="preserve">Revenue near or below $1.300 billion.</w:t>
      </w:r>
    </w:p>
    <w:p>
      <w:pPr>
        <w:pStyle w:val="Compact"/>
        <w:numPr>
          <w:ilvl w:val="0"/>
          <w:numId w:val="1014"/>
        </w:numPr>
      </w:pPr>
      <w:r>
        <w:t xml:space="preserve">EPS below $0.68 or dependent on unusually aggressive repurchases.</w:t>
      </w:r>
    </w:p>
    <w:p>
      <w:pPr>
        <w:pStyle w:val="Compact"/>
        <w:numPr>
          <w:ilvl w:val="0"/>
          <w:numId w:val="1014"/>
        </w:numPr>
      </w:pPr>
      <w:r>
        <w:t xml:space="preserve">Cyber Safety growth falls toward low single digits.</w:t>
      </w:r>
    </w:p>
    <w:p>
      <w:pPr>
        <w:pStyle w:val="Compact"/>
        <w:numPr>
          <w:ilvl w:val="0"/>
          <w:numId w:val="1014"/>
        </w:numPr>
      </w:pPr>
      <w:r>
        <w:t xml:space="preserve">MoneyLion or Engine decelerates sharply.</w:t>
      </w:r>
    </w:p>
    <w:p>
      <w:pPr>
        <w:pStyle w:val="Compact"/>
        <w:numPr>
          <w:ilvl w:val="0"/>
          <w:numId w:val="1014"/>
        </w:numPr>
      </w:pPr>
      <w:r>
        <w:t xml:space="preserve">Consolidated margin drops materially below 50%.</w:t>
      </w:r>
    </w:p>
    <w:p>
      <w:pPr>
        <w:pStyle w:val="Compact"/>
        <w:numPr>
          <w:ilvl w:val="0"/>
          <w:numId w:val="1014"/>
        </w:numPr>
      </w:pPr>
      <w:r>
        <w:t xml:space="preserve">The $100 million synergy timeline becomes less certain.</w:t>
      </w:r>
    </w:p>
    <w:p>
      <w:pPr>
        <w:pStyle w:val="Compact"/>
        <w:numPr>
          <w:ilvl w:val="0"/>
          <w:numId w:val="1014"/>
        </w:numPr>
      </w:pPr>
      <w:r>
        <w:t xml:space="preserve">Full-year guidance is narrowed downward or the midpoint is implicitly de-risked.</w:t>
      </w:r>
    </w:p>
    <w:p>
      <w:pPr>
        <w:pStyle w:val="FirstParagraph"/>
      </w:pPr>
      <w:r>
        <w:t xml:space="preserve">Such a result would revive concerns that the apparent acceleration is acquisition-driven and that lower-margin financial wellness growth cannot sustain GEN’s historical earnings quality.</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GEN’s Q1 headline numbers are unlikely to be the whole story because consensus is essentially identical to management’s guidance.</w:t>
      </w:r>
      <w:r>
        <w:t xml:space="preserve"> </w:t>
      </w:r>
      <w:r>
        <w:rPr>
          <w:b/>
          <w:bCs/>
        </w:rPr>
        <w:t xml:space="preserve">The likely stock-moving variables are segment growth, customer and connected-account progression, margin stability, synergy visibility and the full-year outlook.</w:t>
      </w:r>
    </w:p>
    <w:p>
      <w:pPr>
        <w:pStyle w:val="BodyText"/>
      </w:pPr>
      <w:r>
        <w:t xml:space="preserve">The setup is attractive from a valuation and cash-flow perspective, but less forgiving than it was three months ago. A clean beat accompanied by reaffirmed or higher guidance could sustain the rerating. An in-line quarter without stronger forward indicators may be treated as underwhelming given the stock’s roughly 39% rise since the previous report.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nvestor.gendigital.com/financials/quarterly-results/default.aspx?utm_source=openai" TargetMode="External" /><Relationship Type="http://schemas.openxmlformats.org/officeDocument/2006/relationships/hyperlink" Id="rId20" Target="https://newsroom.gendigital.com/2026-06-30-Norton-Genie-Expands-to-Claude%2C-Bringing-AI-Powered-Scam-Detection-into-Everyday-Conversations?utm_source=openai" TargetMode="External" /><Relationship Type="http://schemas.openxmlformats.org/officeDocument/2006/relationships/hyperlink" Id="rId9" Target="https://newsroom.gendigital.com/2026-07-14-Gen-to-Announce-Fiscal-2027-First-Quarter-Results-on-August-6%2C-2026" TargetMode="External" /><Relationship Type="http://schemas.openxmlformats.org/officeDocument/2006/relationships/hyperlink" Id="rId17" Target="https://newsroom.gendigital.com/2026-07-20-MoneyLion-One-Launches-Premium-Banking-Helping-Everyday-Americans-Earn-More-from-Every-Paycheck?utm_source=openai" TargetMode="External" /><Relationship Type="http://schemas.openxmlformats.org/officeDocument/2006/relationships/hyperlink" Id="rId11" Target="https://tickerleague.com/companies/GEN/estimate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nvestor.gendigital.com/financials/quarterly-results/default.aspx?utm_source=openai" TargetMode="External" /><Relationship Type="http://schemas.openxmlformats.org/officeDocument/2006/relationships/hyperlink" Id="rId20" Target="https://newsroom.gendigital.com/2026-06-30-Norton-Genie-Expands-to-Claude%2C-Bringing-AI-Powered-Scam-Detection-into-Everyday-Conversations?utm_source=openai" TargetMode="External" /><Relationship Type="http://schemas.openxmlformats.org/officeDocument/2006/relationships/hyperlink" Id="rId9" Target="https://newsroom.gendigital.com/2026-07-14-Gen-to-Announce-Fiscal-2027-First-Quarter-Results-on-August-6%2C-2026" TargetMode="External" /><Relationship Type="http://schemas.openxmlformats.org/officeDocument/2006/relationships/hyperlink" Id="rId17" Target="https://newsroom.gendigital.com/2026-07-20-MoneyLion-One-Launches-Premium-Banking-Helping-Everyday-Americans-Earn-More-from-Every-Paycheck?utm_source=openai" TargetMode="External" /><Relationship Type="http://schemas.openxmlformats.org/officeDocument/2006/relationships/hyperlink" Id="rId11" Target="https://tickerleague.com/companies/GEN/estimat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2026-08-06T00:56:20Z</dcterms:created>
  <dcterms:modified xsi:type="dcterms:W3CDTF">2026-08-06T00:56:20Z</dcterms:modified>
</cp:coreProperties>
</file>

<file path=docProps/custom.xml><?xml version="1.0" encoding="utf-8"?>
<Properties xmlns="http://schemas.openxmlformats.org/officeDocument/2006/custom-properties" xmlns:vt="http://schemas.openxmlformats.org/officeDocument/2006/docPropsVTypes"/>
</file>