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3bd83c216422d7f4017bfe4c06576ac5f6a1f5"/>
    <w:p>
      <w:pPr>
        <w:pStyle w:val="Heading1"/>
      </w:pPr>
      <w:r>
        <w:t xml:space="preserve">Gen Digital (NASDAQ: GEN) — FY27 Q1 Earnings Preview</w:t>
      </w:r>
    </w:p>
    <w:p>
      <w:pPr>
        <w:pStyle w:val="BlockText"/>
      </w:pPr>
      <w:r>
        <w:rPr>
          <w:b/>
          <w:bCs/>
        </w:rPr>
        <w:t xml:space="preserve">Date clarification:</w:t>
      </w:r>
      <w:r>
        <w:t xml:space="preserve"> </w:t>
      </w:r>
      <w:r>
        <w:t xml:space="preserve">Gen is scheduled to report</w:t>
      </w:r>
      <w:r>
        <w:t xml:space="preserve"> </w:t>
      </w:r>
      <w:r>
        <w:rPr>
          <w:b/>
          <w:bCs/>
        </w:rPr>
        <w:t xml:space="preserve">today, Thursday, August 6, 2026</w:t>
      </w:r>
      <w:r>
        <w:t xml:space="preserve">, not tomorrow. This preview is framed ahead of the company’s FY27 Q1 earnings call.</w:t>
      </w:r>
    </w:p>
    <w:bookmarkStart w:id="9" w:name="X910792c06b824b2e8ddd9b7273395fda9b81689"/>
    <w:p>
      <w:pPr>
        <w:pStyle w:val="Heading2"/>
      </w:pPr>
      <w:r>
        <w:t xml:space="preserve">Investment view: the bar is now about validating an accelerated-growth narrative</w:t>
      </w:r>
    </w:p>
    <w:p>
      <w:pPr>
        <w:pStyle w:val="FirstParagraph"/>
      </w:pPr>
      <w:r>
        <w:t xml:space="preserve">Gen enters FY27 Q1 following a decisive FY26 finish: management raised its FY27 outlook to</w:t>
      </w:r>
      <w:r>
        <w:t xml:space="preserve"> </w:t>
      </w:r>
      <w:r>
        <w:rPr>
          <w:b/>
          <w:bCs/>
        </w:rPr>
        <w:t xml:space="preserve">8%–10% pro forma revenue growth</w:t>
      </w:r>
      <w:r>
        <w:t xml:space="preserve"> </w:t>
      </w:r>
      <w:r>
        <w:t xml:space="preserve">and</w:t>
      </w:r>
      <w:r>
        <w:t xml:space="preserve"> </w:t>
      </w:r>
      <w:r>
        <w:rPr>
          <w:b/>
          <w:bCs/>
        </w:rPr>
        <w:t xml:space="preserve">13%–17% non-GAAP EPS growth</w:t>
      </w:r>
      <w:r>
        <w:t xml:space="preserve">, framing the business as structurally faster-growing rather than a mature, low-single-digit consumer-security company.</w:t>
      </w:r>
    </w:p>
    <w:p>
      <w:pPr>
        <w:pStyle w:val="BodyText"/>
      </w:pPr>
      <w:r>
        <w:t xml:space="preserve">The Q1 report needs to demonstrate three things:</w:t>
      </w:r>
    </w:p>
    <w:p>
      <w:pPr>
        <w:pStyle w:val="Compact"/>
        <w:numPr>
          <w:ilvl w:val="0"/>
          <w:numId w:val="1001"/>
        </w:numPr>
      </w:pPr>
      <w:r>
        <w:rPr>
          <w:b/>
          <w:bCs/>
        </w:rPr>
        <w:t xml:space="preserve">Core Cyber Safety can sustain mid-single-digit growth</w:t>
      </w:r>
      <w:r>
        <w:t xml:space="preserve"> </w:t>
      </w:r>
      <w:r>
        <w:t xml:space="preserve">through memberships, pricing, retention, cross-sell, and improved distribution.</w:t>
      </w:r>
    </w:p>
    <w:p>
      <w:pPr>
        <w:pStyle w:val="Compact"/>
        <w:numPr>
          <w:ilvl w:val="0"/>
          <w:numId w:val="1001"/>
        </w:numPr>
      </w:pPr>
      <w:r>
        <w:rPr>
          <w:b/>
          <w:bCs/>
        </w:rPr>
        <w:t xml:space="preserve">Trust-Based Solutions can maintain its high-growth trajectory</w:t>
      </w:r>
      <w:r>
        <w:t xml:space="preserve">, particularly MoneyLion’s personal-finance products and the Engine marketplace.</w:t>
      </w:r>
    </w:p>
    <w:p>
      <w:pPr>
        <w:pStyle w:val="Compact"/>
        <w:numPr>
          <w:ilvl w:val="0"/>
          <w:numId w:val="1001"/>
        </w:numPr>
      </w:pPr>
      <w:r>
        <w:rPr>
          <w:b/>
          <w:bCs/>
        </w:rPr>
        <w:t xml:space="preserve">The cross-sell and financial-wellness strategy is beginning to produce measurable revenue synergies</w:t>
      </w:r>
      <w:r>
        <w:t xml:space="preserve">—not just engagement and product announcements.</w:t>
      </w:r>
    </w:p>
    <w:p>
      <w:pPr>
        <w:pStyle w:val="FirstParagraph"/>
      </w:pPr>
      <w:r>
        <w:t xml:space="preserve">The stock has already appreciated meaningfully: GEN closed at</w:t>
      </w:r>
      <w:r>
        <w:t xml:space="preserve"> </w:t>
      </w:r>
      <m:oMath>
        <m:r>
          <m:t>27.97</m:t>
        </m:r>
        <m:r>
          <m:t>o</m:t>
        </m:r>
        <m:r>
          <m:t>n</m:t>
        </m:r>
        <m:r>
          <m:t>A</m:t>
        </m:r>
        <m:r>
          <m:t>u</m:t>
        </m:r>
        <m:r>
          <m:t>g</m:t>
        </m:r>
        <m:r>
          <m:t>u</m:t>
        </m:r>
        <m:r>
          <m:t>s</m:t>
        </m:r>
        <m:r>
          <m:t>t</m:t>
        </m:r>
        <m:r>
          <m:t>5</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20.19 on May 7</w:t>
      </w:r>
      <w:r>
        <w:t xml:space="preserve">, the prior earnings date—an increase of about</w:t>
      </w:r>
      <w:r>
        <w:t xml:space="preserve"> </w:t>
      </w:r>
      <w:r>
        <w:rPr>
          <w:b/>
          <w:bCs/>
        </w:rPr>
        <w:t xml:space="preserve">38.5%</w:t>
      </w:r>
      <w:r>
        <w:t xml:space="preserve">. That performance raises the importance of the FY27 outlook and supporting KPIs, rather than a simple headline beat.</w:t>
      </w:r>
    </w:p>
    <w:p>
      <w:r>
        <w:pict>
          <v:rect style="width:0;height:1.5pt" o:hralign="center" o:hrstd="t" o:hr="t"/>
        </w:pict>
      </w:r>
    </w:p>
    <w:bookmarkEnd w:id="9"/>
    <w:bookmarkStart w:id="12" w:name="the-numbers-that-matter"/>
    <w:p>
      <w:pPr>
        <w:pStyle w:val="Heading2"/>
      </w:pPr>
      <w:r>
        <w:t xml:space="preserve">The numbers that matter</w:t>
      </w:r>
    </w:p>
    <w:bookmarkStart w:id="10" w:name="company-guidance-is-the-key-benchmark"/>
    <w:p>
      <w:pPr>
        <w:pStyle w:val="Heading3"/>
      </w:pPr>
      <w:r>
        <w:t xml:space="preserve">Company guidance is the key benchmark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FY27 Q1 guidance</w:t>
            </w:r>
          </w:p>
        </w:tc>
        <w:tc>
          <w:tcPr/>
          <w:p>
            <w:pPr>
              <w:pStyle w:val="Compact"/>
            </w:pPr>
            <w:r>
              <w:t xml:space="preserve">Implied focus</w:t>
            </w:r>
          </w:p>
        </w:tc>
      </w:tr>
      <w:tr>
        <w:tc>
          <w:tcPr/>
          <w:p>
            <w:pPr>
              <w:pStyle w:val="Compact"/>
            </w:pPr>
            <w:r>
              <w:t xml:space="preserve">Revenue</w:t>
            </w:r>
          </w:p>
        </w:tc>
        <w:tc>
          <w:tcPr/>
          <w:p>
            <w:pPr>
              <w:pStyle w:val="Compact"/>
              <w:jc w:val="right"/>
            </w:pPr>
            <m:oMath>
              <m:r>
                <m:t>1.300</m:t>
              </m:r>
              <m:r>
                <m:t>B</m:t>
              </m:r>
              <m:r>
                <m:rPr>
                  <m:sty m:val="p"/>
                </m:rPr>
                <m:t>–</m:t>
              </m:r>
            </m:oMath>
            <w:r>
              <w:rPr>
                <w:b/>
                <w:bCs/>
              </w:rPr>
              <w:t xml:space="preserve">1.325B</w:t>
            </w:r>
          </w:p>
        </w:tc>
        <w:tc>
          <w:tcPr/>
          <w:p>
            <w:pPr>
              <w:pStyle w:val="Compact"/>
            </w:pPr>
            <w:r>
              <w:t xml:space="preserve">8%–10% pro forma growth</w:t>
            </w:r>
          </w:p>
        </w:tc>
      </w:tr>
      <w:tr>
        <w:tc>
          <w:tcPr/>
          <w:p>
            <w:pPr>
              <w:pStyle w:val="Compact"/>
            </w:pPr>
            <w:r>
              <w:t xml:space="preserve">Non-GAAP EPS</w:t>
            </w:r>
          </w:p>
        </w:tc>
        <w:tc>
          <w:tcPr/>
          <w:p>
            <w:pPr>
              <w:pStyle w:val="Compact"/>
              <w:jc w:val="right"/>
            </w:pPr>
            <m:oMath>
              <m:r>
                <m:t>0.68</m:t>
              </m:r>
              <m:r>
                <m:rPr>
                  <m:sty m:val="p"/>
                </m:rPr>
                <m:t>–</m:t>
              </m:r>
            </m:oMath>
            <w:r>
              <w:rPr>
                <w:b/>
                <w:bCs/>
              </w:rPr>
              <w:t xml:space="preserve">0.70</w:t>
            </w:r>
          </w:p>
        </w:tc>
        <w:tc>
          <w:tcPr/>
          <w:p>
            <w:pPr>
              <w:pStyle w:val="Compact"/>
            </w:pPr>
            <w:r>
              <w:t xml:space="preserve">13%–17% pro forma growth</w:t>
            </w:r>
          </w:p>
        </w:tc>
      </w:tr>
      <w:tr>
        <w:tc>
          <w:tcPr/>
          <w:p>
            <w:pPr>
              <w:pStyle w:val="Compact"/>
            </w:pPr>
            <w:r>
              <w:t xml:space="preserve">FY27 revenue</w:t>
            </w:r>
          </w:p>
        </w:tc>
        <w:tc>
          <w:tcPr/>
          <w:p>
            <w:pPr>
              <w:pStyle w:val="Compact"/>
              <w:jc w:val="right"/>
            </w:pPr>
            <m:oMath>
              <m:r>
                <m:t>5.325</m:t>
              </m:r>
              <m:r>
                <m:t>B</m:t>
              </m:r>
              <m:r>
                <m:rPr>
                  <m:sty m:val="p"/>
                </m:rPr>
                <m:t>–</m:t>
              </m:r>
            </m:oMath>
            <w:r>
              <w:rPr>
                <w:b/>
                <w:bCs/>
              </w:rPr>
              <w:t xml:space="preserve">5.425B</w:t>
            </w:r>
          </w:p>
        </w:tc>
        <w:tc>
          <w:tcPr/>
          <w:p>
            <w:pPr>
              <w:pStyle w:val="Compact"/>
            </w:pPr>
            <w:r>
              <w:t xml:space="preserve">8%–10% pro forma growth</w:t>
            </w:r>
          </w:p>
        </w:tc>
      </w:tr>
      <w:tr>
        <w:tc>
          <w:tcPr/>
          <w:p>
            <w:pPr>
              <w:pStyle w:val="Compact"/>
            </w:pPr>
            <w:r>
              <w:t xml:space="preserve">FY27 non-GAAP EPS</w:t>
            </w:r>
          </w:p>
        </w:tc>
        <w:tc>
          <w:tcPr/>
          <w:p>
            <w:pPr>
              <w:pStyle w:val="Compact"/>
              <w:jc w:val="right"/>
            </w:pPr>
            <m:oMath>
              <m:r>
                <m:t>2.85</m:t>
              </m:r>
              <m:r>
                <m:rPr>
                  <m:sty m:val="p"/>
                </m:rPr>
                <m:t>–</m:t>
              </m:r>
            </m:oMath>
            <w:r>
              <w:rPr>
                <w:b/>
                <w:bCs/>
              </w:rPr>
              <w:t xml:space="preserve">2.95</w:t>
            </w:r>
          </w:p>
        </w:tc>
        <w:tc>
          <w:tcPr/>
          <w:p>
            <w:pPr>
              <w:pStyle w:val="Compact"/>
            </w:pPr>
            <w:r>
              <w:t xml:space="preserve">Mid-teens growth at midpoint</w:t>
            </w:r>
          </w:p>
        </w:tc>
      </w:tr>
    </w:tbl>
    <w:p>
      <w:pPr>
        <w:pStyle w:val="BodyText"/>
      </w:pPr>
      <w:r>
        <w:t xml:space="preserve">At the midpoint, Q1 guidance calls for roughly</w:t>
      </w:r>
      <w:r>
        <w:t xml:space="preserve"> </w:t>
      </w:r>
      <m:oMath>
        <m:r>
          <m:t>1.313</m:t>
        </m:r>
        <m:r>
          <m:t>B</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0.69 of non-GAAP EPS</w:t>
      </w:r>
      <w:r>
        <w:t xml:space="preserve">. That is only a modest sequential step-up from FY26 Q4’s $1.283B revenue and $0.67 EPS, so the quarter should be evaluated more on year-over-year/pro-forma execution and the forward guide than sequential growth.</w:t>
      </w:r>
    </w:p>
    <w:bookmarkEnd w:id="10"/>
    <w:bookmarkStart w:id="11" w:name="recent-operating-trajectory"/>
    <w:p>
      <w:pPr>
        <w:pStyle w:val="Heading3"/>
      </w:pPr>
      <w:r>
        <w:t xml:space="preserve">Recent operating trajectory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 millions, except EPS</w:t>
            </w:r>
          </w:p>
        </w:tc>
        <w:tc>
          <w:tcPr/>
          <w:p>
            <w:pPr>
              <w:pStyle w:val="Compact"/>
              <w:jc w:val="right"/>
            </w:pPr>
            <w:r>
              <w:t xml:space="preserve">FY26 Q3</w:t>
            </w:r>
          </w:p>
        </w:tc>
        <w:tc>
          <w:tcPr/>
          <w:p>
            <w:pPr>
              <w:pStyle w:val="Compact"/>
              <w:jc w:val="right"/>
            </w:pPr>
            <w:r>
              <w:t xml:space="preserve">FY26 Q4</w:t>
            </w:r>
          </w:p>
        </w:tc>
        <w:tc>
          <w:tcPr/>
          <w:p>
            <w:pPr>
              <w:pStyle w:val="Compact"/>
              <w:jc w:val="right"/>
            </w:pPr>
            <w:r>
              <w:t xml:space="preserve">Q/Q change</w:t>
            </w:r>
          </w:p>
        </w:tc>
      </w:tr>
      <w:tr>
        <w:tc>
          <w:tcPr/>
          <w:p>
            <w:pPr>
              <w:pStyle w:val="Compact"/>
            </w:pPr>
            <w:r>
              <w:t xml:space="preserve">Revenue</w:t>
            </w:r>
          </w:p>
        </w:tc>
        <w:tc>
          <w:tcPr/>
          <w:p>
            <w:pPr>
              <w:pStyle w:val="Compact"/>
              <w:jc w:val="right"/>
            </w:pPr>
            <w:r>
              <w:t xml:space="preserve">$1,240</w:t>
            </w:r>
          </w:p>
        </w:tc>
        <w:tc>
          <w:tcPr/>
          <w:p>
            <w:pPr>
              <w:pStyle w:val="Compact"/>
              <w:jc w:val="right"/>
            </w:pPr>
            <w:r>
              <w:t xml:space="preserve">$1,283</w:t>
            </w:r>
          </w:p>
        </w:tc>
        <w:tc>
          <w:tcPr/>
          <w:p>
            <w:pPr>
              <w:pStyle w:val="Compact"/>
              <w:jc w:val="right"/>
            </w:pPr>
            <w:r>
              <w:t xml:space="preserve">+3%</w:t>
            </w:r>
          </w:p>
        </w:tc>
      </w:tr>
      <w:tr>
        <w:tc>
          <w:tcPr/>
          <w:p>
            <w:pPr>
              <w:pStyle w:val="Compact"/>
            </w:pPr>
            <w:r>
              <w:t xml:space="preserve">Bookings</w:t>
            </w:r>
          </w:p>
        </w:tc>
        <w:tc>
          <w:tcPr/>
          <w:p>
            <w:pPr>
              <w:pStyle w:val="Compact"/>
              <w:jc w:val="right"/>
            </w:pPr>
            <w:r>
              <w:t xml:space="preserve">$1,319</w:t>
            </w:r>
          </w:p>
        </w:tc>
        <w:tc>
          <w:tcPr/>
          <w:p>
            <w:pPr>
              <w:pStyle w:val="Compact"/>
              <w:jc w:val="right"/>
            </w:pPr>
            <w:r>
              <w:t xml:space="preserve">$1,364</w:t>
            </w:r>
          </w:p>
        </w:tc>
        <w:tc>
          <w:tcPr/>
          <w:p>
            <w:pPr>
              <w:pStyle w:val="Compact"/>
              <w:jc w:val="right"/>
            </w:pPr>
            <w:r>
              <w:t xml:space="preserve">+3%</w:t>
            </w:r>
          </w:p>
        </w:tc>
      </w:tr>
      <w:tr>
        <w:tc>
          <w:tcPr/>
          <w:p>
            <w:pPr>
              <w:pStyle w:val="Compact"/>
            </w:pPr>
            <w:r>
              <w:t xml:space="preserve">Non-GAAP operating income</w:t>
            </w:r>
          </w:p>
        </w:tc>
        <w:tc>
          <w:tcPr/>
          <w:p>
            <w:pPr>
              <w:pStyle w:val="Compact"/>
              <w:jc w:val="right"/>
            </w:pPr>
            <w:r>
              <w:t xml:space="preserve">$629</w:t>
            </w:r>
          </w:p>
        </w:tc>
        <w:tc>
          <w:tcPr/>
          <w:p>
            <w:pPr>
              <w:pStyle w:val="Compact"/>
              <w:jc w:val="right"/>
            </w:pPr>
            <w:r>
              <w:t xml:space="preserve">$641</w:t>
            </w:r>
          </w:p>
        </w:tc>
        <w:tc>
          <w:tcPr/>
          <w:p>
            <w:pPr>
              <w:pStyle w:val="Compact"/>
              <w:jc w:val="right"/>
            </w:pPr>
            <w:r>
              <w:t xml:space="preserve">+2%</w:t>
            </w:r>
          </w:p>
        </w:tc>
      </w:tr>
      <w:tr>
        <w:tc>
          <w:tcPr/>
          <w:p>
            <w:pPr>
              <w:pStyle w:val="Compact"/>
            </w:pPr>
            <w:r>
              <w:t xml:space="preserve">Non-GAAP EPS</w:t>
            </w:r>
          </w:p>
        </w:tc>
        <w:tc>
          <w:tcPr/>
          <w:p>
            <w:pPr>
              <w:pStyle w:val="Compact"/>
              <w:jc w:val="right"/>
            </w:pPr>
            <w:r>
              <w:t xml:space="preserve">$0.64</w:t>
            </w:r>
          </w:p>
        </w:tc>
        <w:tc>
          <w:tcPr/>
          <w:p>
            <w:pPr>
              <w:pStyle w:val="Compact"/>
              <w:jc w:val="right"/>
            </w:pPr>
            <w:r>
              <w:t xml:space="preserve">$0.67</w:t>
            </w:r>
          </w:p>
        </w:tc>
        <w:tc>
          <w:tcPr/>
          <w:p>
            <w:pPr>
              <w:pStyle w:val="Compact"/>
              <w:jc w:val="right"/>
            </w:pPr>
            <w:r>
              <w:t xml:space="preserve">+5%</w:t>
            </w:r>
          </w:p>
        </w:tc>
      </w:tr>
      <w:tr>
        <w:tc>
          <w:tcPr/>
          <w:p>
            <w:pPr>
              <w:pStyle w:val="Compact"/>
            </w:pPr>
            <w:r>
              <w:t xml:space="preserve">Paid customers</w:t>
            </w:r>
          </w:p>
        </w:tc>
        <w:tc>
          <w:tcPr/>
          <w:p>
            <w:pPr>
              <w:pStyle w:val="Compact"/>
              <w:jc w:val="right"/>
            </w:pPr>
            <w:r>
              <w:t xml:space="preserve">78M</w:t>
            </w:r>
          </w:p>
        </w:tc>
        <w:tc>
          <w:tcPr/>
          <w:p>
            <w:pPr>
              <w:pStyle w:val="Compact"/>
              <w:jc w:val="right"/>
            </w:pPr>
            <w:r>
              <w:t xml:space="preserve">79M</w:t>
            </w:r>
          </w:p>
        </w:tc>
        <w:tc>
          <w:tcPr/>
          <w:p>
            <w:pPr>
              <w:pStyle w:val="Compact"/>
              <w:jc w:val="right"/>
            </w:pPr>
            <w:r>
              <w:t xml:space="preserve">+1M</w:t>
            </w:r>
          </w:p>
        </w:tc>
      </w:tr>
    </w:tbl>
    <w:p>
      <w:pPr>
        <w:pStyle w:val="BodyText"/>
      </w:pPr>
      <w:r>
        <w:t xml:space="preserve">FY26 Q4 revenue grew</w:t>
      </w:r>
      <w:r>
        <w:t xml:space="preserve"> </w:t>
      </w:r>
      <w:r>
        <w:rPr>
          <w:b/>
          <w:bCs/>
        </w:rPr>
        <w:t xml:space="preserve">9% pro forma</w:t>
      </w:r>
      <w:r>
        <w:t xml:space="preserve">, bookings grew</w:t>
      </w:r>
      <w:r>
        <w:t xml:space="preserve"> </w:t>
      </w:r>
      <w:r>
        <w:rPr>
          <w:b/>
          <w:bCs/>
        </w:rPr>
        <w:t xml:space="preserve">10% pro forma</w:t>
      </w:r>
      <w:r>
        <w:t xml:space="preserve">, and EPS grew</w:t>
      </w:r>
      <w:r>
        <w:t xml:space="preserve"> </w:t>
      </w:r>
      <w:r>
        <w:rPr>
          <w:b/>
          <w:bCs/>
        </w:rPr>
        <w:t xml:space="preserve">14%</w:t>
      </w:r>
      <w:r>
        <w:t xml:space="preserve">, ending a year in which Gen delivered 10 consecutive quarters within its stated 12%–15% EPS-growth framework. That consistency is a positive, but it also means the market is likely looking for evidence that the increased FY27 target is conservative rather than merely achievable.</w:t>
      </w:r>
    </w:p>
    <w:p>
      <w:r>
        <w:pict>
          <v:rect style="width:0;height:1.5pt" o:hralign="center" o:hrstd="t" o:hr="t"/>
        </w:pict>
      </w:r>
    </w:p>
    <w:bookmarkEnd w:id="11"/>
    <w:bookmarkEnd w:id="12"/>
    <w:bookmarkStart w:id="16" w:name="what-investors-should-watch"/>
    <w:p>
      <w:pPr>
        <w:pStyle w:val="Heading2"/>
      </w:pPr>
      <w:r>
        <w:t xml:space="preserve">What investors should watch</w:t>
      </w:r>
    </w:p>
    <w:bookmarkStart w:id="13" w:name="Xbfb81026e7719a6edec2d4d5f1159af2c976f40"/>
    <w:p>
      <w:pPr>
        <w:pStyle w:val="Heading3"/>
      </w:pPr>
      <w:r>
        <w:t xml:space="preserve">1. Cyber Safety: prove that the core remains a durable grower</w:t>
      </w:r>
    </w:p>
    <w:p>
      <w:pPr>
        <w:pStyle w:val="FirstParagraph"/>
      </w:pPr>
      <w:r>
        <w:t xml:space="preserve">Cyber Safety generated</w:t>
      </w:r>
      <w:r>
        <w:t xml:space="preserve"> </w:t>
      </w:r>
      <w:r>
        <w:rPr>
          <w:b/>
          <w:bCs/>
        </w:rPr>
        <w:t xml:space="preserve">$837M of FY26 Q4 revenue</w:t>
      </w:r>
      <w:r>
        <w:t xml:space="preserve">, up from $819M in Q3. Management has targeted a sustainable mid-single-digit growth rate, supported by broader adoption of Norton 360-style comprehensive memberships, retention, price/value realization, and personalized cross-sell.</w:t>
      </w:r>
    </w:p>
    <w:p>
      <w:pPr>
        <w:pStyle w:val="BodyText"/>
      </w:pPr>
      <w:r>
        <w:t xml:space="preserve">Key signals to watch:</w:t>
      </w:r>
    </w:p>
    <w:p>
      <w:pPr>
        <w:pStyle w:val="Compact"/>
        <w:numPr>
          <w:ilvl w:val="0"/>
          <w:numId w:val="1002"/>
        </w:numPr>
      </w:pPr>
      <w:r>
        <w:rPr>
          <w:b/>
          <w:bCs/>
        </w:rPr>
        <w:t xml:space="preserve">Cyber Safety revenue growth:</w:t>
      </w:r>
      <w:r>
        <w:t xml:space="preserve"> </w:t>
      </w:r>
      <w:r>
        <w:t xml:space="preserve">A result around or above the mid-single-digit target would support the broader FY27 setup.</w:t>
      </w:r>
    </w:p>
    <w:p>
      <w:pPr>
        <w:pStyle w:val="Compact"/>
        <w:numPr>
          <w:ilvl w:val="0"/>
          <w:numId w:val="1002"/>
        </w:numPr>
      </w:pPr>
      <w:r>
        <w:rPr>
          <w:b/>
          <w:bCs/>
        </w:rPr>
        <w:t xml:space="preserve">Paid-customer growth:</w:t>
      </w:r>
      <w:r>
        <w:t xml:space="preserve"> </w:t>
      </w:r>
      <w:r>
        <w:t xml:space="preserve">Total customers rose to</w:t>
      </w:r>
      <w:r>
        <w:t xml:space="preserve"> </w:t>
      </w:r>
      <w:r>
        <w:rPr>
          <w:b/>
          <w:bCs/>
        </w:rPr>
        <w:t xml:space="preserve">79M</w:t>
      </w:r>
      <w:r>
        <w:t xml:space="preserve"> </w:t>
      </w:r>
      <w:r>
        <w:t xml:space="preserve">in Q4 from 68M a year earlier. Continued net adds matter, although investor attention should remain on customer quality, ARPU, and retention—not customer count alone.</w:t>
      </w:r>
    </w:p>
    <w:p>
      <w:pPr>
        <w:pStyle w:val="Compact"/>
        <w:numPr>
          <w:ilvl w:val="0"/>
          <w:numId w:val="1002"/>
        </w:numPr>
      </w:pPr>
      <w:r>
        <w:rPr>
          <w:b/>
          <w:bCs/>
        </w:rPr>
        <w:t xml:space="preserve">Membership and cross-sell adoption:</w:t>
      </w:r>
      <w:r>
        <w:t xml:space="preserve"> </w:t>
      </w:r>
      <w:r>
        <w:t xml:space="preserve">Norton cross-sell penetration exceeded</w:t>
      </w:r>
      <w:r>
        <w:t xml:space="preserve"> </w:t>
      </w:r>
      <w:r>
        <w:rPr>
          <w:b/>
          <w:bCs/>
        </w:rPr>
        <w:t xml:space="preserve">26%</w:t>
      </w:r>
      <w:r>
        <w:t xml:space="preserve"> </w:t>
      </w:r>
      <w:r>
        <w:t xml:space="preserve">of the base at FY26 year-end. Management also cited cohort-level ARPU 7%–10% above levels two years earlier.</w:t>
      </w:r>
    </w:p>
    <w:p>
      <w:pPr>
        <w:pStyle w:val="Compact"/>
        <w:numPr>
          <w:ilvl w:val="0"/>
          <w:numId w:val="1002"/>
        </w:numPr>
      </w:pPr>
      <w:r>
        <w:rPr>
          <w:b/>
          <w:bCs/>
        </w:rPr>
        <w:t xml:space="preserve">Retention and pricing:</w:t>
      </w:r>
      <w:r>
        <w:t xml:space="preserve"> </w:t>
      </w:r>
      <w:r>
        <w:t xml:space="preserve">These are fundamental to the high-margin subscription model and more important than near-term product-launch publicity.</w:t>
      </w:r>
    </w:p>
    <w:p>
      <w:pPr>
        <w:pStyle w:val="FirstParagraph"/>
      </w:pPr>
      <w:r>
        <w:t xml:space="preserve">The bull case is that AI-driven scams and fraud expand the urgency and willingness to pay for integrated consumer protection. The risk is that Gen must keep showing that AI is improving monetization and product differentiation, rather than simply raising its cost base or intensifying competitive noise.</w:t>
      </w:r>
    </w:p>
    <w:bookmarkEnd w:id="13"/>
    <w:bookmarkStart w:id="14" w:name="Xa3b48bbc3fe19b00e52bcab24d448415d2a2c58"/>
    <w:p>
      <w:pPr>
        <w:pStyle w:val="Heading3"/>
      </w:pPr>
      <w:r>
        <w:t xml:space="preserve">2. Trust-Based Solutions: the central growth engine</w:t>
      </w:r>
    </w:p>
    <w:p>
      <w:pPr>
        <w:pStyle w:val="FirstParagraph"/>
      </w:pPr>
      <w:r>
        <w:t xml:space="preserve">Trust-Based Solutions reached</w:t>
      </w:r>
      <w:r>
        <w:t xml:space="preserve"> </w:t>
      </w:r>
      <w:r>
        <w:rPr>
          <w:b/>
          <w:bCs/>
        </w:rPr>
        <w:t xml:space="preserve">$446M of FY26 Q4 revenue</w:t>
      </w:r>
      <w:r>
        <w:t xml:space="preserve">, versus $421M in Q3. On a pro forma basis, the segment delivered</w:t>
      </w:r>
      <w:r>
        <w:t xml:space="preserve"> </w:t>
      </w:r>
      <w:r>
        <w:rPr>
          <w:b/>
          <w:bCs/>
        </w:rPr>
        <w:t xml:space="preserve">20% revenue growth</w:t>
      </w:r>
      <w:r>
        <w:t xml:space="preserve"> </w:t>
      </w:r>
      <w:r>
        <w:t xml:space="preserve">in Q4, led by MoneyLion, LifeLock’s revamped offering, and Engine by Gen.</w:t>
      </w:r>
    </w:p>
    <w:p>
      <w:pPr>
        <w:pStyle w:val="BodyText"/>
      </w:pPr>
      <w:r>
        <w:t xml:space="preserve">This is the most important segment for the accelerated-growth thesis, but it also carries the lower-margin mix. Management has indicated segment margins of roughly</w:t>
      </w:r>
      <w:r>
        <w:t xml:space="preserve"> </w:t>
      </w:r>
      <w:r>
        <w:rPr>
          <w:b/>
          <w:bCs/>
        </w:rPr>
        <w:t xml:space="preserve">30%</w:t>
      </w:r>
      <w:r>
        <w:t xml:space="preserve">, versus approximately</w:t>
      </w:r>
      <w:r>
        <w:t xml:space="preserve"> </w:t>
      </w:r>
      <w:r>
        <w:rPr>
          <w:b/>
          <w:bCs/>
        </w:rPr>
        <w:t xml:space="preserve">61%</w:t>
      </w:r>
      <w:r>
        <w:t xml:space="preserve"> </w:t>
      </w:r>
      <w:r>
        <w:t xml:space="preserve">in Cyber Safety.</w:t>
      </w:r>
    </w:p>
    <w:p>
      <w:pPr>
        <w:pStyle w:val="BodyText"/>
      </w:pPr>
      <w:r>
        <w:t xml:space="preserve">Areas to monitor:</w:t>
      </w:r>
    </w:p>
    <w:p>
      <w:pPr>
        <w:pStyle w:val="Compact"/>
        <w:numPr>
          <w:ilvl w:val="0"/>
          <w:numId w:val="1003"/>
        </w:numPr>
      </w:pPr>
      <w:r>
        <w:rPr>
          <w:b/>
          <w:bCs/>
        </w:rPr>
        <w:t xml:space="preserve">MoneyLion growth and repeat engagement.</w:t>
      </w:r>
      <w:r>
        <w:t xml:space="preserve"> </w:t>
      </w:r>
      <w:r>
        <w:t xml:space="preserve">Management said MoneyLion grew nearly 40% in FY26 Q4 and has been approaching a $1B annual revenue run rate when combined with Engine-related activity.</w:t>
      </w:r>
    </w:p>
    <w:p>
      <w:pPr>
        <w:pStyle w:val="Compact"/>
        <w:numPr>
          <w:ilvl w:val="0"/>
          <w:numId w:val="1003"/>
        </w:numPr>
      </w:pPr>
      <w:r>
        <w:rPr>
          <w:b/>
          <w:bCs/>
        </w:rPr>
        <w:t xml:space="preserve">LifeLock product refresh.</w:t>
      </w:r>
      <w:r>
        <w:t xml:space="preserve"> </w:t>
      </w:r>
      <w:r>
        <w:t xml:space="preserve">Gen reported the reimagined LifeLock experience was live for roughly 3M customers, with 90% retention and higher NPS. Investors should look for confirmation that those better engagement metrics are converting into sustained revenue acceleration.</w:t>
      </w:r>
    </w:p>
    <w:p>
      <w:pPr>
        <w:pStyle w:val="Compact"/>
        <w:numPr>
          <w:ilvl w:val="0"/>
          <w:numId w:val="1003"/>
        </w:numPr>
      </w:pPr>
      <w:r>
        <w:rPr>
          <w:b/>
          <w:bCs/>
        </w:rPr>
        <w:t xml:space="preserve">Engine marketplace expansion.</w:t>
      </w:r>
      <w:r>
        <w:t xml:space="preserve"> </w:t>
      </w:r>
      <w:r>
        <w:t xml:space="preserve">New distribution arrangements—including Equifax and Microsoft AI-related surfaces—are strategically attractive. The question is whether they translate into material, recurring revenue and attractive unit economics.</w:t>
      </w:r>
    </w:p>
    <w:p>
      <w:pPr>
        <w:pStyle w:val="Compact"/>
        <w:numPr>
          <w:ilvl w:val="0"/>
          <w:numId w:val="1003"/>
        </w:numPr>
      </w:pPr>
      <w:r>
        <w:rPr>
          <w:b/>
          <w:bCs/>
        </w:rPr>
        <w:t xml:space="preserve">Financial-account connections.</w:t>
      </w:r>
      <w:r>
        <w:t xml:space="preserve"> </w:t>
      </w:r>
      <w:r>
        <w:t xml:space="preserve">Connected accounts reached</w:t>
      </w:r>
      <w:r>
        <w:t xml:space="preserve"> </w:t>
      </w:r>
      <w:r>
        <w:rPr>
          <w:b/>
          <w:bCs/>
        </w:rPr>
        <w:t xml:space="preserve">107M</w:t>
      </w:r>
      <w:r>
        <w:t xml:space="preserve"> </w:t>
      </w:r>
      <w:r>
        <w:t xml:space="preserve">in Q4, up 36% year over year. This is Gen’s preferred leading indicator for its financial-wellness strategy, though it is not equivalent to immediate revenue.</w:t>
      </w:r>
    </w:p>
    <w:bookmarkEnd w:id="14"/>
    <w:bookmarkStart w:id="15" w:name="Xd249ec1431e7d2425ff00d5ce0f99f7894615bf"/>
    <w:p>
      <w:pPr>
        <w:pStyle w:val="Heading3"/>
      </w:pPr>
      <w:r>
        <w:t xml:space="preserve">3. Synergies: move from platform story to measurable outcomes</w:t>
      </w:r>
    </w:p>
    <w:p>
      <w:pPr>
        <w:pStyle w:val="FirstParagraph"/>
      </w:pPr>
      <w:r>
        <w:t xml:space="preserve">The key strategic claim is that cyber safety, identity protection, financial wellness, and marketplace recommendations form a connected “trust” platform. Management said roughly</w:t>
      </w:r>
      <w:r>
        <w:t xml:space="preserve"> </w:t>
      </w:r>
      <w:r>
        <w:rPr>
          <w:b/>
          <w:bCs/>
        </w:rPr>
        <w:t xml:space="preserve">one-third of the paid base</w:t>
      </w:r>
      <w:r>
        <w:t xml:space="preserve"> </w:t>
      </w:r>
      <w:r>
        <w:t xml:space="preserve">now engages with financial wellness and forecast</w:t>
      </w:r>
      <w:r>
        <w:t xml:space="preserve"> </w:t>
      </w:r>
      <w:r>
        <w:rPr>
          <w:b/>
          <w:bCs/>
        </w:rPr>
        <w:t xml:space="preserve">more than $100M of incremental annual revenue</w:t>
      </w:r>
      <w:r>
        <w:t xml:space="preserve"> </w:t>
      </w:r>
      <w:r>
        <w:t xml:space="preserve">from embedded financial-wellness partner expansion and Engine growth, beginning in the second half of FY27 and scaling in FY28–FY29.</w:t>
      </w:r>
    </w:p>
    <w:p>
      <w:pPr>
        <w:pStyle w:val="BodyText"/>
      </w:pPr>
      <w:r>
        <w:t xml:space="preserve">For this report, the critical questions are:</w:t>
      </w:r>
    </w:p>
    <w:p>
      <w:pPr>
        <w:pStyle w:val="Compact"/>
        <w:numPr>
          <w:ilvl w:val="0"/>
          <w:numId w:val="1004"/>
        </w:numPr>
      </w:pPr>
      <w:r>
        <w:t xml:space="preserve">Are users connecting accounts and using financial-monitoring features at an accelerating rate?</w:t>
      </w:r>
    </w:p>
    <w:p>
      <w:pPr>
        <w:pStyle w:val="Compact"/>
        <w:numPr>
          <w:ilvl w:val="0"/>
          <w:numId w:val="1004"/>
        </w:numPr>
      </w:pPr>
      <w:r>
        <w:t xml:space="preserve">What early monetization, conversion, or ARPU lift is observable from those connections?</w:t>
      </w:r>
    </w:p>
    <w:p>
      <w:pPr>
        <w:pStyle w:val="Compact"/>
        <w:numPr>
          <w:ilvl w:val="0"/>
          <w:numId w:val="1004"/>
        </w:numPr>
      </w:pPr>
      <w:r>
        <w:t xml:space="preserve">Are the synergies truly incremental, or do they mostly represent product bundling and internal customer migration?</w:t>
      </w:r>
    </w:p>
    <w:p>
      <w:pPr>
        <w:pStyle w:val="Compact"/>
        <w:numPr>
          <w:ilvl w:val="0"/>
          <w:numId w:val="1004"/>
        </w:numPr>
      </w:pPr>
      <w:r>
        <w:t xml:space="preserve">Is the anticipated second-half FY27 contribution still intact?</w:t>
      </w:r>
    </w:p>
    <w:p>
      <w:pPr>
        <w:pStyle w:val="FirstParagraph"/>
      </w:pPr>
      <w:r>
        <w:t xml:space="preserve">A reaffirmation of the $100M-plus opportunity is constructive. Quantitative disclosures—rather than broad commentary on engagement—would be more meaningful.</w:t>
      </w:r>
    </w:p>
    <w:p>
      <w:r>
        <w:pict>
          <v:rect style="width:0;height:1.5pt" o:hralign="center" o:hrstd="t" o:hr="t"/>
        </w:pict>
      </w:r>
    </w:p>
    <w:bookmarkEnd w:id="15"/>
    <w:bookmarkEnd w:id="16"/>
    <w:bookmarkStart w:id="17" w:name="margins-cash-flow-and-capital-allocation"/>
    <w:p>
      <w:pPr>
        <w:pStyle w:val="Heading2"/>
      </w:pPr>
      <w:r>
        <w:t xml:space="preserve">Margins, cash flow, and capital allocation</w:t>
      </w:r>
    </w:p>
    <w:p>
      <w:pPr>
        <w:pStyle w:val="FirstParagraph"/>
      </w:pPr>
      <w:r>
        <w:t xml:space="preserve">Gen remains a strong free-cash-flow business. FY26 free cash flow was</w:t>
      </w:r>
      <w:r>
        <w:t xml:space="preserve"> </w:t>
      </w:r>
      <m:oMath>
        <m:r>
          <m:t>1.523</m:t>
        </m:r>
        <m:r>
          <m:t>B</m:t>
        </m:r>
        <m:r>
          <m:rPr>
            <m:sty m:val="p"/>
          </m:rPr>
          <m:t>*</m:t>
        </m:r>
        <m:r>
          <m:rPr>
            <m:sty m:val="p"/>
          </m:rPr>
          <m:t>*</m:t>
        </m:r>
        <m:r>
          <m:rPr>
            <m:sty m:val="p"/>
          </m:rPr>
          <m:t>,</m:t>
        </m:r>
        <m:r>
          <m:t>o</m:t>
        </m:r>
        <m:r>
          <m:t>r</m:t>
        </m:r>
        <m:r>
          <m:t>m</m:t>
        </m:r>
        <m:r>
          <m:t>o</m:t>
        </m:r>
        <m:r>
          <m:t>r</m:t>
        </m:r>
        <m:r>
          <m:t>e</m:t>
        </m:r>
        <m:r>
          <m:t>t</m:t>
        </m:r>
        <m:r>
          <m:t>h</m:t>
        </m:r>
        <m:r>
          <m:t>a</m:t>
        </m:r>
        <m:r>
          <m:t>n</m:t>
        </m:r>
        <m:r>
          <m:t>30</m:t>
        </m:r>
      </m:oMath>
      <w:r>
        <w:rPr>
          <w:b/>
          <w:bCs/>
        </w:rPr>
        <w:t xml:space="preserve">449M</w:t>
      </w:r>
      <w:r>
        <w:t xml:space="preserve">. It exited FY26 at approximately</w:t>
      </w:r>
      <w:r>
        <w:t xml:space="preserve"> </w:t>
      </w:r>
      <w:r>
        <w:rPr>
          <w:b/>
          <w:bCs/>
        </w:rPr>
        <w:t xml:space="preserve">3.0x net leverage</w:t>
      </w:r>
      <w:r>
        <w:t xml:space="preserve">, achieving its stated target a year early.</w:t>
      </w:r>
    </w:p>
    <w:p>
      <w:pPr>
        <w:pStyle w:val="BodyText"/>
      </w:pPr>
      <w:r>
        <w:t xml:space="preserve">This creates a favorable capital-allocation framework:</w:t>
      </w:r>
    </w:p>
    <w:p>
      <w:pPr>
        <w:pStyle w:val="Compact"/>
        <w:numPr>
          <w:ilvl w:val="0"/>
          <w:numId w:val="1005"/>
        </w:numPr>
      </w:pPr>
      <w:r>
        <w:t xml:space="preserve">Continued</w:t>
      </w:r>
      <w:r>
        <w:t xml:space="preserve"> </w:t>
      </w:r>
      <w:r>
        <w:rPr>
          <w:b/>
          <w:bCs/>
        </w:rPr>
        <w:t xml:space="preserve">$0.125 quarterly dividend</w:t>
      </w:r>
    </w:p>
    <w:p>
      <w:pPr>
        <w:pStyle w:val="Compact"/>
        <w:numPr>
          <w:ilvl w:val="0"/>
          <w:numId w:val="1005"/>
        </w:numPr>
      </w:pPr>
      <w:r>
        <w:t xml:space="preserve">Ongoing</w:t>
      </w:r>
      <w:r>
        <w:t xml:space="preserve"> </w:t>
      </w:r>
      <w:r>
        <w:rPr>
          <w:b/>
          <w:bCs/>
        </w:rPr>
        <w:t xml:space="preserve">share repurchases</w:t>
      </w:r>
      <w:r>
        <w:t xml:space="preserve">; $2.1B remained under authorization at FY26 year-end</w:t>
      </w:r>
    </w:p>
    <w:p>
      <w:pPr>
        <w:pStyle w:val="Compact"/>
        <w:numPr>
          <w:ilvl w:val="0"/>
          <w:numId w:val="1005"/>
        </w:numPr>
      </w:pPr>
      <w:r>
        <w:t xml:space="preserve">Further deleveraging</w:t>
      </w:r>
    </w:p>
    <w:p>
      <w:pPr>
        <w:pStyle w:val="Compact"/>
        <w:numPr>
          <w:ilvl w:val="0"/>
          <w:numId w:val="1005"/>
        </w:numPr>
      </w:pPr>
      <w:r>
        <w:t xml:space="preserve">Targeted tuck-in M&amp;A and product investment</w:t>
      </w:r>
    </w:p>
    <w:p>
      <w:pPr>
        <w:pStyle w:val="FirstParagraph"/>
      </w:pPr>
      <w:r>
        <w:t xml:space="preserve">The trade-off is margin mix. Management expects to hold the overall business near a</w:t>
      </w:r>
      <w:r>
        <w:t xml:space="preserve"> </w:t>
      </w:r>
      <w:r>
        <w:rPr>
          <w:b/>
          <w:bCs/>
        </w:rPr>
        <w:t xml:space="preserve">50% non-GAAP operating margin</w:t>
      </w:r>
      <w:r>
        <w:t xml:space="preserve">, with faster-growing Trust-Based Solutions remaining structurally below Cyber Safety’s margin profile. Investors should not expect material near-term margin expansion if Gen is actively funding customer acquisition, AI products, and financial-wellness integration.</w:t>
      </w:r>
    </w:p>
    <w:p>
      <w:r>
        <w:pict>
          <v:rect style="width:0;height:1.5pt" o:hralign="center" o:hrstd="t" o:hr="t"/>
        </w:pict>
      </w:r>
    </w:p>
    <w:bookmarkEnd w:id="17"/>
    <w:bookmarkStart w:id="18" w:name="Xbe3f82f4168ae885e4bed3cbe4da9bb939a6d60"/>
    <w:p>
      <w:pPr>
        <w:pStyle w:val="Heading2"/>
      </w:pPr>
      <w:r>
        <w:t xml:space="preserve">The AI narrative: upside optionality, but execution and economics matter</w:t>
      </w:r>
    </w:p>
    <w:p>
      <w:pPr>
        <w:pStyle w:val="FirstParagraph"/>
      </w:pPr>
      <w:r>
        <w:t xml:space="preserve">Gen’s consumer-AI strategy spans scam detection, agent-security tooling, secure-browser products, distribution through large language model ecosystems, and a planned digital concierge for Norton subscribers.</w:t>
      </w:r>
    </w:p>
    <w:p>
      <w:pPr>
        <w:pStyle w:val="BodyText"/>
      </w:pPr>
      <w:r>
        <w:t xml:space="preserve">This is strategically sensible: fraud, identity compromise, and financial loss are natural extensions of Gen’s existing brand proposition. Still, management has explicitly said agentic-AI revenue in FY27 will be</w:t>
      </w:r>
      <w:r>
        <w:t xml:space="preserve"> </w:t>
      </w:r>
      <w:r>
        <w:rPr>
          <w:b/>
          <w:bCs/>
        </w:rPr>
        <w:t xml:space="preserve">modest</w:t>
      </w:r>
      <w:r>
        <w:t xml:space="preserve">. The near-term earnings relevance is therefore less about new AI revenue and more about:</w:t>
      </w:r>
    </w:p>
    <w:p>
      <w:pPr>
        <w:pStyle w:val="Compact"/>
        <w:numPr>
          <w:ilvl w:val="0"/>
          <w:numId w:val="1006"/>
        </w:numPr>
      </w:pPr>
      <w:r>
        <w:t xml:space="preserve">Better customer acquisition and personalization,</w:t>
      </w:r>
    </w:p>
    <w:p>
      <w:pPr>
        <w:pStyle w:val="Compact"/>
        <w:numPr>
          <w:ilvl w:val="0"/>
          <w:numId w:val="1006"/>
        </w:numPr>
      </w:pPr>
      <w:r>
        <w:t xml:space="preserve">Higher cross-sell and retention,</w:t>
      </w:r>
    </w:p>
    <w:p>
      <w:pPr>
        <w:pStyle w:val="Compact"/>
        <w:numPr>
          <w:ilvl w:val="0"/>
          <w:numId w:val="1006"/>
        </w:numPr>
      </w:pPr>
      <w:r>
        <w:t xml:space="preserve">Operating efficiencies,</w:t>
      </w:r>
    </w:p>
    <w:p>
      <w:pPr>
        <w:pStyle w:val="Compact"/>
        <w:numPr>
          <w:ilvl w:val="0"/>
          <w:numId w:val="1006"/>
        </w:numPr>
      </w:pPr>
      <w:r>
        <w:t xml:space="preserve">Lower support and development cycle times,</w:t>
      </w:r>
    </w:p>
    <w:p>
      <w:pPr>
        <w:pStyle w:val="Compact"/>
        <w:numPr>
          <w:ilvl w:val="0"/>
          <w:numId w:val="1006"/>
        </w:numPr>
      </w:pPr>
      <w:r>
        <w:t xml:space="preserve">Avoiding unfavorable inference-cost or gross-margin pressure.</w:t>
      </w:r>
    </w:p>
    <w:p>
      <w:pPr>
        <w:pStyle w:val="FirstParagraph"/>
      </w:pPr>
      <w:r>
        <w:t xml:space="preserve">Any signs that AI initiatives are becoming a material investment burden without corresponding commercial traction would be a risk to the FY27 EPS guide.</w:t>
      </w:r>
    </w:p>
    <w:p>
      <w:r>
        <w:pict>
          <v:rect style="width:0;height:1.5pt" o:hralign="center" o:hrstd="t" o:hr="t"/>
        </w:pict>
      </w:r>
    </w:p>
    <w:bookmarkEnd w:id="18"/>
    <w:bookmarkStart w:id="22" w:name="potential-upside-and-downside-scenarios"/>
    <w:p>
      <w:pPr>
        <w:pStyle w:val="Heading2"/>
      </w:pPr>
      <w:r>
        <w:t xml:space="preserve">Potential upside and downside scenarios</w:t>
      </w:r>
    </w:p>
    <w:bookmarkStart w:id="19" w:name="bullish-outcome"/>
    <w:p>
      <w:pPr>
        <w:pStyle w:val="Heading3"/>
      </w:pPr>
      <w:r>
        <w:t xml:space="preserve">Bullish outcome</w:t>
      </w:r>
    </w:p>
    <w:p>
      <w:pPr>
        <w:pStyle w:val="Compact"/>
        <w:numPr>
          <w:ilvl w:val="0"/>
          <w:numId w:val="1007"/>
        </w:numPr>
      </w:pPr>
      <w:r>
        <w:t xml:space="preserve">Q1 revenue and EPS exceed the high end of guidance.</w:t>
      </w:r>
    </w:p>
    <w:p>
      <w:pPr>
        <w:pStyle w:val="Compact"/>
        <w:numPr>
          <w:ilvl w:val="0"/>
          <w:numId w:val="1007"/>
        </w:numPr>
      </w:pPr>
      <w:r>
        <w:t xml:space="preserve">FY27 revenue/EPS outlook is reaffirmed confidently or raised.</w:t>
      </w:r>
    </w:p>
    <w:p>
      <w:pPr>
        <w:pStyle w:val="Compact"/>
        <w:numPr>
          <w:ilvl w:val="0"/>
          <w:numId w:val="1007"/>
        </w:numPr>
      </w:pPr>
      <w:r>
        <w:t xml:space="preserve">Cyber Safety reaches or exceeds mid-single-digit growth.</w:t>
      </w:r>
    </w:p>
    <w:p>
      <w:pPr>
        <w:pStyle w:val="Compact"/>
        <w:numPr>
          <w:ilvl w:val="0"/>
          <w:numId w:val="1007"/>
        </w:numPr>
      </w:pPr>
      <w:r>
        <w:t xml:space="preserve">Trust-Based Solutions remains near 20% pro forma growth.</w:t>
      </w:r>
    </w:p>
    <w:p>
      <w:pPr>
        <w:pStyle w:val="Compact"/>
        <w:numPr>
          <w:ilvl w:val="0"/>
          <w:numId w:val="1007"/>
        </w:numPr>
      </w:pPr>
      <w:r>
        <w:t xml:space="preserve">Management provides tangible synergy metrics: financial-account growth, conversion, ARPU lift, or partner-revenue momentum.</w:t>
      </w:r>
    </w:p>
    <w:p>
      <w:pPr>
        <w:pStyle w:val="Compact"/>
        <w:numPr>
          <w:ilvl w:val="0"/>
          <w:numId w:val="1007"/>
        </w:numPr>
      </w:pPr>
      <w:r>
        <w:t xml:space="preserve">Margin outlook remains stable despite investment.</w:t>
      </w:r>
    </w:p>
    <w:bookmarkEnd w:id="19"/>
    <w:bookmarkStart w:id="20" w:name="neutral-outcome"/>
    <w:p>
      <w:pPr>
        <w:pStyle w:val="Heading3"/>
      </w:pPr>
      <w:r>
        <w:t xml:space="preserve">Neutral outcome</w:t>
      </w:r>
    </w:p>
    <w:p>
      <w:pPr>
        <w:pStyle w:val="Compact"/>
        <w:numPr>
          <w:ilvl w:val="0"/>
          <w:numId w:val="1008"/>
        </w:numPr>
      </w:pPr>
      <w:r>
        <w:t xml:space="preserve">A routine Q1 beat, but no improvement to the full-year framework.</w:t>
      </w:r>
    </w:p>
    <w:p>
      <w:pPr>
        <w:pStyle w:val="Compact"/>
        <w:numPr>
          <w:ilvl w:val="0"/>
          <w:numId w:val="1008"/>
        </w:numPr>
      </w:pPr>
      <w:r>
        <w:t xml:space="preserve">Core Cyber Safety grows near plan, while Trust-Based Solutions remains healthy but decelerates somewhat from Q4.</w:t>
      </w:r>
    </w:p>
    <w:p>
      <w:pPr>
        <w:pStyle w:val="Compact"/>
        <w:numPr>
          <w:ilvl w:val="0"/>
          <w:numId w:val="1008"/>
        </w:numPr>
      </w:pPr>
      <w:r>
        <w:t xml:space="preserve">Management reiterates second-half synergy expectations without providing more evidence of monetization.</w:t>
      </w:r>
    </w:p>
    <w:bookmarkEnd w:id="20"/>
    <w:bookmarkStart w:id="21" w:name="bearish-outcome"/>
    <w:p>
      <w:pPr>
        <w:pStyle w:val="Heading3"/>
      </w:pPr>
      <w:r>
        <w:t xml:space="preserve">Bearish outcome</w:t>
      </w:r>
    </w:p>
    <w:p>
      <w:pPr>
        <w:pStyle w:val="Compact"/>
        <w:numPr>
          <w:ilvl w:val="0"/>
          <w:numId w:val="1009"/>
        </w:numPr>
      </w:pPr>
      <w:r>
        <w:t xml:space="preserve">Guidance is maintained but commentary suggests a softer first half or back-end-loaded second-half recovery.</w:t>
      </w:r>
    </w:p>
    <w:p>
      <w:pPr>
        <w:pStyle w:val="Compact"/>
        <w:numPr>
          <w:ilvl w:val="0"/>
          <w:numId w:val="1009"/>
        </w:numPr>
      </w:pPr>
      <w:r>
        <w:t xml:space="preserve">Cyber Safety drops below its mid-single-digit growth aspiration.</w:t>
      </w:r>
    </w:p>
    <w:p>
      <w:pPr>
        <w:pStyle w:val="Compact"/>
        <w:numPr>
          <w:ilvl w:val="0"/>
          <w:numId w:val="1009"/>
        </w:numPr>
      </w:pPr>
      <w:r>
        <w:t xml:space="preserve">MoneyLion/Engine performance moderates sharply, challenging the higher-growth mix thesis.</w:t>
      </w:r>
    </w:p>
    <w:p>
      <w:pPr>
        <w:pStyle w:val="Compact"/>
        <w:numPr>
          <w:ilvl w:val="0"/>
          <w:numId w:val="1009"/>
        </w:numPr>
      </w:pPr>
      <w:r>
        <w:t xml:space="preserve">Investment in AI, marketing, or product integration pressures margins without enough revenue leverage.</w:t>
      </w:r>
    </w:p>
    <w:p>
      <w:pPr>
        <w:pStyle w:val="Compact"/>
        <w:numPr>
          <w:ilvl w:val="0"/>
          <w:numId w:val="1009"/>
        </w:numPr>
      </w:pPr>
      <w:r>
        <w:t xml:space="preserve">Financial-wellness engagement grows, but monetization indicators remain vague.</w:t>
      </w:r>
    </w:p>
    <w:p>
      <w:r>
        <w:pict>
          <v:rect style="width:0;height:1.5pt" o:hralign="center" o:hrstd="t" o:hr="t"/>
        </w:pict>
      </w:r>
    </w:p>
    <w:bookmarkEnd w:id="21"/>
    <w:bookmarkEnd w:id="22"/>
    <w:bookmarkStart w:id="24" w:name="bottom-line"/>
    <w:p>
      <w:pPr>
        <w:pStyle w:val="Heading2"/>
      </w:pPr>
      <w:r>
        <w:t xml:space="preserve">Bottom line</w:t>
      </w:r>
    </w:p>
    <w:p>
      <w:pPr>
        <w:pStyle w:val="FirstParagraph"/>
      </w:pPr>
      <w:r>
        <w:t xml:space="preserve">GEN’s FY27 Q1 report is less about whether it can clear a relatively well-defined quarterly guide and more about whether it can</w:t>
      </w:r>
      <w:r>
        <w:t xml:space="preserve"> </w:t>
      </w:r>
      <w:r>
        <w:rPr>
          <w:b/>
          <w:bCs/>
        </w:rPr>
        <w:t xml:space="preserve">de-risk the full-year acceleration to 8%–10% revenue growth and mid-teens EPS growth</w:t>
      </w:r>
      <w:r>
        <w:t xml:space="preserve">.</w:t>
      </w:r>
    </w:p>
    <w:p>
      <w:pPr>
        <w:pStyle w:val="BodyText"/>
      </w:pPr>
      <w:r>
        <w:t xml:space="preserve">The core subscription-security franchise appears healthy, highly cash generative, and supported by improving ARPU and cross-sell. The investment debate centers on whether Trust-Based Solutions—especially MoneyLion, Engine, and cross-portfolio financial wellness—can sustain high growth while becoming a credible source of profitable synergies.</w:t>
      </w:r>
    </w:p>
    <w:p>
      <w:pPr>
        <w:pStyle w:val="BodyText"/>
      </w:pPr>
      <w:r>
        <w:rPr>
          <w:b/>
          <w:bCs/>
        </w:rPr>
        <w:t xml:space="preserve">Most important call takeaways:</w:t>
      </w:r>
      <w:r>
        <w:t xml:space="preserve"> </w:t>
      </w:r>
      <w:r>
        <w:t xml:space="preserve">the durability of Cyber Safety growth, the trajectory of Trust-Based Solutions, evidence behind the $100M-plus synergy opportunity, and management’s level of confidence in FY27 guidance.</w:t>
      </w:r>
    </w:p>
    <w:bookmarkStart w:id="23" w:name="research-basis"/>
    <w:p>
      <w:pPr>
        <w:pStyle w:val="Heading3"/>
      </w:pPr>
      <w:r>
        <w:t xml:space="preserve">Research basis</w:t>
      </w:r>
    </w:p>
    <w:p>
      <w:pPr>
        <w:pStyle w:val="Compact"/>
        <w:numPr>
          <w:ilvl w:val="0"/>
          <w:numId w:val="1010"/>
        </w:numPr>
      </w:pPr>
      <w:r>
        <w:t xml:space="preserve">Gen FY26 Q4 earnings release and earnings-call transcript, May 7, 2026.</w:t>
      </w:r>
    </w:p>
    <w:p>
      <w:pPr>
        <w:pStyle w:val="Compact"/>
        <w:numPr>
          <w:ilvl w:val="0"/>
          <w:numId w:val="1010"/>
        </w:numPr>
      </w:pPr>
      <w:r>
        <w:t xml:space="preserve">Gen FY26 Q3 earnings release, February 5, 2026.</w:t>
      </w:r>
    </w:p>
    <w:p>
      <w:pPr>
        <w:pStyle w:val="Compact"/>
        <w:numPr>
          <w:ilvl w:val="0"/>
          <w:numId w:val="1010"/>
        </w:numPr>
      </w:pPr>
      <w:r>
        <w:t xml:space="preserve">GEN historical closing-price data through August 5,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2026-08-06T00:54:07Z</dcterms:created>
  <dcterms:modified xsi:type="dcterms:W3CDTF">2026-08-06T00:54:07Z</dcterms:modified>
</cp:coreProperties>
</file>

<file path=docProps/custom.xml><?xml version="1.0" encoding="utf-8"?>
<Properties xmlns="http://schemas.openxmlformats.org/officeDocument/2006/custom-properties" xmlns:vt="http://schemas.openxmlformats.org/officeDocument/2006/docPropsVTypes"/>
</file>