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Gen Digital Inc. (GEN)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Gen Digital Inc.</w:t>
            </w:r>
          </w:p>
        </w:tc>
      </w:tr>
      <w:tr>
        <w:tc>
          <w:tcPr>
            <w:tcW w:type="dxa" w:w="4320"/>
          </w:tcPr>
          <w:p>
            <w:r>
              <w:rPr>
                <w:rFonts w:ascii="Calibri" w:hAnsi="Calibri"/>
                <w:b/>
                <w:sz w:val="22"/>
              </w:rPr>
              <w:t>Ticker</w:t>
            </w:r>
          </w:p>
        </w:tc>
        <w:tc>
          <w:tcPr>
            <w:tcW w:type="dxa" w:w="4320"/>
          </w:tcPr>
          <w:p>
            <w:r>
              <w:rPr>
                <w:rFonts w:ascii="Calibri" w:hAnsi="Calibri"/>
                <w:sz w:val="22"/>
              </w:rPr>
              <w:t>GEN (NASDAQ)</w:t>
            </w:r>
          </w:p>
        </w:tc>
      </w:tr>
      <w:tr>
        <w:tc>
          <w:tcPr>
            <w:tcW w:type="dxa" w:w="4320"/>
          </w:tcPr>
          <w:p>
            <w:r>
              <w:rPr>
                <w:rFonts w:ascii="Calibri" w:hAnsi="Calibri"/>
                <w:b/>
                <w:sz w:val="22"/>
              </w:rPr>
              <w:t>Reporting Period</w:t>
            </w:r>
          </w:p>
        </w:tc>
        <w:tc>
          <w:tcPr>
            <w:tcW w:type="dxa" w:w="4320"/>
          </w:tcPr>
          <w:p>
            <w:r>
              <w:rPr>
                <w:rFonts w:ascii="Calibri" w:hAnsi="Calibri"/>
                <w:sz w:val="22"/>
              </w:rPr>
              <w:t>Q1 FY2027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 (after market close)</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Q1 FY2027 is modestly constructive — consensus sits at the midpoint of guidance, GEN has beaten EPS in each of the last four quarters with an average surprise of ~3%, and the stock has re-rated +38% since the May 7 print, leaving limited room for a multiple-driven pop but a solid fundamental beat could still drive upside.</w:t>
      </w:r>
      <w:r>
        <w:rPr>
          <w:rFonts w:ascii="Calibri" w:hAnsi="Calibri"/>
          <w:color w:val="525866"/>
          <w:sz w:val="22"/>
        </w:rPr>
        <w:t xml:space="preserve"> The single biggest swing factor is </w:t>
      </w:r>
      <w:r>
        <w:rPr>
          <w:rFonts w:ascii="Calibri" w:hAnsi="Calibri"/>
          <w:b/>
          <w:color w:val="525866"/>
          <w:sz w:val="22"/>
        </w:rPr>
        <w:t>MoneyLion revenue trajectory</w:t>
      </w:r>
      <w:r>
        <w:rPr>
          <w:rFonts w:ascii="Calibri" w:hAnsi="Calibri"/>
          <w:color w:val="525866"/>
          <w:sz w:val="22"/>
        </w:rPr>
        <w:t xml:space="preserve"> and whether the Engine marketplace can sustain the momentum that drove partner revenue to a near-$1B run rate.</w:t>
      </w:r>
    </w:p>
    <w:p>
      <w:r>
        <w:rPr>
          <w:rFonts w:ascii="Calibri" w:hAnsi="Calibri"/>
          <w:color w:val="525866"/>
          <w:sz w:val="22"/>
        </w:rPr>
        <w:t xml:space="preserve">Heading into Q1 FY2027, the bar is achievable but not low: consensus revenue of ~$1.31B sits at the midpoint of the $1.30–$1.325B guidance range, and EPS consensus of $0.69 is also at the midpoint of the $0.68–$0.70 guide, implying the Street is not pricing in a meaningful beat. Management's posture on the May 7 call was notably more confident than prior quarters — the FY2027 revenue growth outlook was raised to 8–10% (from a prior mid-single-digit target), net leverage hit 3x EBITDA a year ahead of schedule, and the xAI partnership and OpenAI Trusted Access for Cyber announcements signaled accelerating AI-native product momentum. Estimate revisions have been essentially flat since the post-earnings baseline (EPS consensus moved from $0.690 to $0.690, revenue from $1.315B to $1.314B), suggesting the Street has largely digested the raised guide without adding incremental cushion. The stock has outperformed the cybersecurity ETF (BUG) and the S&amp;P 500 since the last print (+38% vs. +41% for BUG and +5% for SPY), meaning GEN has broadly kept pace with the sector re-rating driven by the AI security demand surge. The key wildcard is </w:t>
      </w:r>
      <w:r>
        <w:rPr>
          <w:rFonts w:ascii="Calibri" w:hAnsi="Calibri"/>
          <w:b/>
          <w:color w:val="525866"/>
          <w:sz w:val="22"/>
        </w:rPr>
        <w:t>MoneyLion's Q1 growth rate</w:t>
      </w:r>
      <w:r>
        <w:rPr>
          <w:rFonts w:ascii="Calibri" w:hAnsi="Calibri"/>
          <w:color w:val="525866"/>
          <w:sz w:val="22"/>
        </w:rPr>
        <w:t>: if it sustains near the ~40% pace seen in Q4 FY2026 rather than decelerating toward the guided 30% exit rate, that alone could drive a meaningful revenue beat and force upward revisions to the FY2027 $1.12B MoneyLion revenue estimate.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estimates sit at the midpoint of guidance across all key metrics, leaving room for a beat if MoneyLion and partner revenue continue to outperform. </w:t>
      </w:r>
      <w:r>
        <w:rPr>
          <w:rFonts w:ascii="Calibri" w:hAnsi="Calibri"/>
          <w:b/>
          <w:color w:val="525866"/>
          <w:sz w:val="22"/>
        </w:rPr>
        <w:t>MoneyLion revenue and partner revenue are the bigger swing factors</w:t>
      </w:r>
      <w:r>
        <w:rPr>
          <w:rFonts w:ascii="Calibri" w:hAnsi="Calibri"/>
          <w:color w:val="525866"/>
          <w:sz w:val="22"/>
        </w:rPr>
        <w:t>; both have consistently beaten consensus by wide margins in recent quarters.</w:t>
      </w:r>
    </w:p>
    <w:p>
      <w:pPr>
        <w:pStyle w:val="Heading3"/>
      </w:pPr>
      <w:r>
        <w:rPr>
          <w:rFonts w:ascii="Calibri" w:hAnsi="Calibri"/>
          <w:b/>
          <w:color w:val="3B4259"/>
          <w:sz w:val="24"/>
        </w:rPr>
        <w:t>Table 1 — Q1 FY2027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Q4 FY2026 Actual</w:t>
            </w:r>
          </w:p>
        </w:tc>
        <w:tc>
          <w:tcPr>
            <w:tcW w:type="dxa" w:w="1234"/>
            <w:shd w:val="clear" w:color="auto" w:fill="3B4259"/>
          </w:tcPr>
          <w:p>
            <w:r>
              <w:rPr>
                <w:rFonts w:ascii="Calibri" w:hAnsi="Calibri"/>
                <w:b/>
                <w:color w:val="FFFFFF"/>
                <w:sz w:val="22"/>
              </w:rPr>
              <w:t>Q1 FY2026 Actual (Prior Year)</w:t>
            </w:r>
          </w:p>
        </w:tc>
        <w:tc>
          <w:tcPr>
            <w:tcW w:type="dxa" w:w="1234"/>
            <w:shd w:val="clear" w:color="auto" w:fill="3B4259"/>
          </w:tcPr>
          <w:p>
            <w:r>
              <w:rPr>
                <w:rFonts w:ascii="Calibri" w:hAnsi="Calibri"/>
                <w:b/>
                <w:color w:val="FFFFFF"/>
                <w:sz w:val="22"/>
              </w:rPr>
              <w:t>Q1 FY2027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Q1 FY2027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Revenue (Operating)</w:t>
            </w:r>
          </w:p>
        </w:tc>
        <w:tc>
          <w:tcPr>
            <w:tcW w:type="dxa" w:w="1234"/>
          </w:tcPr>
          <w:p>
            <w:r>
              <w:rPr>
                <w:rFonts w:ascii="Calibri" w:hAnsi="Calibri"/>
                <w:sz w:val="22"/>
              </w:rPr>
              <w:t>$1,283M</w:t>
            </w:r>
          </w:p>
        </w:tc>
        <w:tc>
          <w:tcPr>
            <w:tcW w:type="dxa" w:w="1234"/>
          </w:tcPr>
          <w:p>
            <w:r>
              <w:rPr>
                <w:rFonts w:ascii="Calibri" w:hAnsi="Calibri"/>
                <w:sz w:val="22"/>
              </w:rPr>
              <w:t>$1,257M</w:t>
            </w:r>
          </w:p>
        </w:tc>
        <w:tc>
          <w:tcPr>
            <w:tcW w:type="dxa" w:w="1234"/>
          </w:tcPr>
          <w:p>
            <w:r>
              <w:rPr>
                <w:rFonts w:ascii="Calibri" w:hAnsi="Calibri"/>
                <w:sz w:val="22"/>
              </w:rPr>
              <w:t>$1,314M</w:t>
            </w:r>
          </w:p>
        </w:tc>
        <w:tc>
          <w:tcPr>
            <w:tcW w:type="dxa" w:w="1234"/>
          </w:tcPr>
          <w:p>
            <w:r>
              <w:rPr>
                <w:rFonts w:ascii="Calibri" w:hAnsi="Calibri"/>
                <w:sz w:val="22"/>
              </w:rPr>
              <w:t>+4.5% YoY</w:t>
            </w:r>
          </w:p>
        </w:tc>
        <w:tc>
          <w:tcPr>
            <w:tcW w:type="dxa" w:w="1234"/>
          </w:tcPr>
          <w:p>
            <w:r>
              <w:rPr>
                <w:rFonts w:ascii="Calibri" w:hAnsi="Calibri"/>
                <w:sz w:val="22"/>
              </w:rPr>
              <w:t>$1,300–$1,325M</w:t>
            </w:r>
          </w:p>
        </w:tc>
        <w:tc>
          <w:tcPr>
            <w:tcW w:type="dxa" w:w="1234"/>
          </w:tcPr>
          <w:p>
            <w:r>
              <w:rPr>
                <w:rFonts w:ascii="Calibri" w:hAnsi="Calibri"/>
                <w:sz w:val="22"/>
              </w:rPr>
              <w:t>-0.1% (at midpoint)</w:t>
            </w:r>
          </w:p>
        </w:tc>
      </w:tr>
      <w:tr>
        <w:tc>
          <w:tcPr>
            <w:tcW w:type="dxa" w:w="1234"/>
          </w:tcPr>
          <w:p>
            <w:r>
              <w:rPr>
                <w:rFonts w:ascii="Calibri" w:hAnsi="Calibri"/>
                <w:sz w:val="22"/>
              </w:rPr>
              <w:t>EPS — Diluted (Operating)</w:t>
            </w:r>
          </w:p>
        </w:tc>
        <w:tc>
          <w:tcPr>
            <w:tcW w:type="dxa" w:w="1234"/>
          </w:tcPr>
          <w:p>
            <w:r>
              <w:rPr>
                <w:rFonts w:ascii="Calibri" w:hAnsi="Calibri"/>
                <w:sz w:val="22"/>
              </w:rPr>
              <w:t>$0.67</w:t>
            </w:r>
          </w:p>
        </w:tc>
        <w:tc>
          <w:tcPr>
            <w:tcW w:type="dxa" w:w="1234"/>
          </w:tcPr>
          <w:p>
            <w:r>
              <w:rPr>
                <w:rFonts w:ascii="Calibri" w:hAnsi="Calibri"/>
                <w:sz w:val="22"/>
              </w:rPr>
              <w:t>$0.64</w:t>
            </w:r>
          </w:p>
        </w:tc>
        <w:tc>
          <w:tcPr>
            <w:tcW w:type="dxa" w:w="1234"/>
          </w:tcPr>
          <w:p>
            <w:r>
              <w:rPr>
                <w:rFonts w:ascii="Calibri" w:hAnsi="Calibri"/>
                <w:sz w:val="22"/>
              </w:rPr>
              <w:t>$0.69</w:t>
            </w:r>
          </w:p>
        </w:tc>
        <w:tc>
          <w:tcPr>
            <w:tcW w:type="dxa" w:w="1234"/>
          </w:tcPr>
          <w:p>
            <w:r>
              <w:rPr>
                <w:rFonts w:ascii="Calibri" w:hAnsi="Calibri"/>
                <w:sz w:val="22"/>
              </w:rPr>
              <w:t>+7.8% YoY</w:t>
            </w:r>
          </w:p>
        </w:tc>
        <w:tc>
          <w:tcPr>
            <w:tcW w:type="dxa" w:w="1234"/>
          </w:tcPr>
          <w:p>
            <w:r>
              <w:rPr>
                <w:rFonts w:ascii="Calibri" w:hAnsi="Calibri"/>
                <w:sz w:val="22"/>
              </w:rPr>
              <w:t>$0.68–$0.70</w:t>
            </w:r>
          </w:p>
        </w:tc>
        <w:tc>
          <w:tcPr>
            <w:tcW w:type="dxa" w:w="1234"/>
          </w:tcPr>
          <w:p>
            <w:r>
              <w:rPr>
                <w:rFonts w:ascii="Calibri" w:hAnsi="Calibri"/>
                <w:sz w:val="22"/>
              </w:rPr>
              <w:t>0.0% (at midpoint)</w:t>
            </w:r>
          </w:p>
        </w:tc>
      </w:tr>
      <w:tr>
        <w:tc>
          <w:tcPr>
            <w:tcW w:type="dxa" w:w="1234"/>
          </w:tcPr>
          <w:p>
            <w:r>
              <w:rPr>
                <w:rFonts w:ascii="Calibri" w:hAnsi="Calibri"/>
                <w:sz w:val="22"/>
              </w:rPr>
              <w:t>Operating Income (Operating)</w:t>
            </w:r>
          </w:p>
        </w:tc>
        <w:tc>
          <w:tcPr>
            <w:tcW w:type="dxa" w:w="1234"/>
          </w:tcPr>
          <w:p>
            <w:r>
              <w:rPr>
                <w:rFonts w:ascii="Calibri" w:hAnsi="Calibri"/>
                <w:sz w:val="22"/>
              </w:rPr>
              <w:t>$641M</w:t>
            </w:r>
          </w:p>
        </w:tc>
        <w:tc>
          <w:tcPr>
            <w:tcW w:type="dxa" w:w="1234"/>
          </w:tcPr>
          <w:p>
            <w:r>
              <w:rPr>
                <w:rFonts w:ascii="Calibri" w:hAnsi="Calibri"/>
                <w:sz w:val="22"/>
              </w:rPr>
              <w:t>$650M</w:t>
            </w:r>
          </w:p>
        </w:tc>
        <w:tc>
          <w:tcPr>
            <w:tcW w:type="dxa" w:w="1234"/>
          </w:tcPr>
          <w:p>
            <w:r>
              <w:rPr>
                <w:rFonts w:ascii="Calibri" w:hAnsi="Calibri"/>
                <w:sz w:val="22"/>
              </w:rPr>
              <w:t>$652M</w:t>
            </w:r>
          </w:p>
        </w:tc>
        <w:tc>
          <w:tcPr>
            <w:tcW w:type="dxa" w:w="1234"/>
          </w:tcPr>
          <w:p>
            <w:r>
              <w:rPr>
                <w:rFonts w:ascii="Calibri" w:hAnsi="Calibri"/>
                <w:sz w:val="22"/>
              </w:rPr>
              <w:t>+0.3% YoY</w:t>
            </w:r>
          </w:p>
        </w:tc>
        <w:tc>
          <w:tcPr>
            <w:tcW w:type="dxa" w:w="1234"/>
          </w:tcPr>
          <w:p>
            <w:r>
              <w:rPr>
                <w:rFonts w:ascii="Calibri" w:hAnsi="Calibri"/>
                <w:sz w:val="22"/>
              </w:rPr>
              <w:t>N/A (not guided separately)</w:t>
            </w:r>
          </w:p>
        </w:tc>
        <w:tc>
          <w:tcPr>
            <w:tcW w:type="dxa" w:w="1234"/>
          </w:tcPr>
          <w:p>
            <w:r>
              <w:rPr>
                <w:rFonts w:ascii="Calibri" w:hAnsi="Calibri"/>
                <w:sz w:val="22"/>
              </w:rPr>
              <w:t>N/A</w:t>
            </w:r>
          </w:p>
        </w:tc>
      </w:tr>
      <w:tr>
        <w:tc>
          <w:tcPr>
            <w:tcW w:type="dxa" w:w="1234"/>
          </w:tcPr>
          <w:p>
            <w:r>
              <w:rPr>
                <w:rFonts w:ascii="Calibri" w:hAnsi="Calibri"/>
                <w:sz w:val="22"/>
              </w:rPr>
              <w:t>MoneyLion Revenue</w:t>
            </w:r>
          </w:p>
        </w:tc>
        <w:tc>
          <w:tcPr>
            <w:tcW w:type="dxa" w:w="1234"/>
          </w:tcPr>
          <w:p>
            <w:r>
              <w:rPr>
                <w:rFonts w:ascii="Calibri" w:hAnsi="Calibri"/>
                <w:sz w:val="22"/>
              </w:rPr>
              <w:t>$233M</w:t>
            </w:r>
          </w:p>
        </w:tc>
        <w:tc>
          <w:tcPr>
            <w:tcW w:type="dxa" w:w="1234"/>
          </w:tcPr>
          <w:p>
            <w:r>
              <w:rPr>
                <w:rFonts w:ascii="Calibri" w:hAnsi="Calibri"/>
                <w:sz w:val="22"/>
              </w:rPr>
              <w:t>$168M</w:t>
            </w:r>
          </w:p>
        </w:tc>
        <w:tc>
          <w:tcPr>
            <w:tcW w:type="dxa" w:w="1234"/>
          </w:tcPr>
          <w:p>
            <w:r>
              <w:rPr>
                <w:rFonts w:ascii="Calibri" w:hAnsi="Calibri"/>
                <w:sz w:val="22"/>
              </w:rPr>
              <w:t>$269M</w:t>
            </w:r>
          </w:p>
        </w:tc>
        <w:tc>
          <w:tcPr>
            <w:tcW w:type="dxa" w:w="1234"/>
          </w:tcPr>
          <w:p>
            <w:r>
              <w:rPr>
                <w:rFonts w:ascii="Calibri" w:hAnsi="Calibri"/>
                <w:sz w:val="22"/>
              </w:rPr>
              <w:t>+60% YoY</w:t>
            </w:r>
          </w:p>
        </w:tc>
        <w:tc>
          <w:tcPr>
            <w:tcW w:type="dxa" w:w="1234"/>
          </w:tcPr>
          <w:p>
            <w:r>
              <w:rPr>
                <w:rFonts w:ascii="Calibri" w:hAnsi="Calibri"/>
                <w:sz w:val="22"/>
              </w:rPr>
              <w:t>N/A (not guided separately)</w:t>
            </w:r>
          </w:p>
        </w:tc>
        <w:tc>
          <w:tcPr>
            <w:tcW w:type="dxa" w:w="1234"/>
          </w:tcPr>
          <w:p>
            <w:r>
              <w:rPr>
                <w:rFonts w:ascii="Calibri" w:hAnsi="Calibri"/>
                <w:sz w:val="22"/>
              </w:rPr>
              <w:t>N/A</w:t>
            </w:r>
          </w:p>
        </w:tc>
      </w:tr>
      <w:tr>
        <w:tc>
          <w:tcPr>
            <w:tcW w:type="dxa" w:w="1234"/>
          </w:tcPr>
          <w:p>
            <w:r>
              <w:rPr>
                <w:rFonts w:ascii="Calibri" w:hAnsi="Calibri"/>
                <w:sz w:val="22"/>
              </w:rPr>
              <w:t>Partner Revenue</w:t>
            </w:r>
          </w:p>
        </w:tc>
        <w:tc>
          <w:tcPr>
            <w:tcW w:type="dxa" w:w="1234"/>
          </w:tcPr>
          <w:p>
            <w:r>
              <w:rPr>
                <w:rFonts w:ascii="Calibri" w:hAnsi="Calibri"/>
                <w:sz w:val="22"/>
              </w:rPr>
              <w:t>$127M</w:t>
            </w:r>
          </w:p>
        </w:tc>
        <w:tc>
          <w:tcPr>
            <w:tcW w:type="dxa" w:w="1234"/>
          </w:tcPr>
          <w:p>
            <w:r>
              <w:rPr>
                <w:rFonts w:ascii="Calibri" w:hAnsi="Calibri"/>
                <w:sz w:val="22"/>
              </w:rPr>
              <w:t>$168M</w:t>
            </w:r>
          </w:p>
        </w:tc>
        <w:tc>
          <w:tcPr>
            <w:tcW w:type="dxa" w:w="1234"/>
          </w:tcPr>
          <w:p>
            <w:r>
              <w:rPr>
                <w:rFonts w:ascii="Calibri" w:hAnsi="Calibri"/>
                <w:sz w:val="22"/>
              </w:rPr>
              <w:t>$193M</w:t>
            </w:r>
          </w:p>
        </w:tc>
        <w:tc>
          <w:tcPr>
            <w:tcW w:type="dxa" w:w="1234"/>
          </w:tcPr>
          <w:p>
            <w:r>
              <w:rPr>
                <w:rFonts w:ascii="Calibri" w:hAnsi="Calibri"/>
                <w:sz w:val="22"/>
              </w:rPr>
              <w:t>+15% YoY</w:t>
            </w:r>
          </w:p>
        </w:tc>
        <w:tc>
          <w:tcPr>
            <w:tcW w:type="dxa" w:w="1234"/>
          </w:tcPr>
          <w:p>
            <w:r>
              <w:rPr>
                <w:rFonts w:ascii="Calibri" w:hAnsi="Calibri"/>
                <w:sz w:val="22"/>
              </w:rPr>
              <w:t>N/A (not guided separately)</w:t>
            </w:r>
          </w:p>
        </w:tc>
        <w:tc>
          <w:tcPr>
            <w:tcW w:type="dxa" w:w="1234"/>
          </w:tcPr>
          <w:p>
            <w:r>
              <w:rPr>
                <w:rFonts w:ascii="Calibri" w:hAnsi="Calibri"/>
                <w:sz w:val="22"/>
              </w:rPr>
              <w:t>N/A</w:t>
            </w:r>
          </w:p>
        </w:tc>
      </w:tr>
      <w:tr>
        <w:tc>
          <w:tcPr>
            <w:tcW w:type="dxa" w:w="1234"/>
          </w:tcPr>
          <w:p>
            <w:r>
              <w:rPr>
                <w:rFonts w:ascii="Calibri" w:hAnsi="Calibri"/>
                <w:sz w:val="22"/>
              </w:rPr>
              <w:t>Cyber Safety Revenue</w:t>
            </w:r>
          </w:p>
        </w:tc>
        <w:tc>
          <w:tcPr>
            <w:tcW w:type="dxa" w:w="1234"/>
          </w:tcPr>
          <w:p>
            <w:r>
              <w:rPr>
                <w:rFonts w:ascii="Calibri" w:hAnsi="Calibri"/>
                <w:sz w:val="22"/>
              </w:rPr>
              <w:t>$837M</w:t>
            </w:r>
          </w:p>
        </w:tc>
        <w:tc>
          <w:tcPr>
            <w:tcW w:type="dxa" w:w="1234"/>
          </w:tcPr>
          <w:p>
            <w:r>
              <w:rPr>
                <w:rFonts w:ascii="Calibri" w:hAnsi="Calibri"/>
                <w:sz w:val="22"/>
              </w:rPr>
              <w:t>$869M</w:t>
            </w:r>
          </w:p>
        </w:tc>
        <w:tc>
          <w:tcPr>
            <w:tcW w:type="dxa" w:w="1234"/>
          </w:tcPr>
          <w:p>
            <w:r>
              <w:rPr>
                <w:rFonts w:ascii="Calibri" w:hAnsi="Calibri"/>
                <w:sz w:val="22"/>
              </w:rPr>
              <w:t>$847M</w:t>
            </w:r>
          </w:p>
        </w:tc>
        <w:tc>
          <w:tcPr>
            <w:tcW w:type="dxa" w:w="1234"/>
          </w:tcPr>
          <w:p>
            <w:r>
              <w:rPr>
                <w:rFonts w:ascii="Calibri" w:hAnsi="Calibri"/>
                <w:sz w:val="22"/>
              </w:rPr>
              <w:t>-2.5% YoY</w:t>
            </w:r>
          </w:p>
        </w:tc>
        <w:tc>
          <w:tcPr>
            <w:tcW w:type="dxa" w:w="1234"/>
          </w:tcPr>
          <w:p>
            <w:r>
              <w:rPr>
                <w:rFonts w:ascii="Calibri" w:hAnsi="Calibri"/>
                <w:sz w:val="22"/>
              </w:rPr>
              <w:t>Mid-single-digit growth (segment)</w:t>
            </w:r>
          </w:p>
        </w:tc>
        <w:tc>
          <w:tcPr>
            <w:tcW w:type="dxa" w:w="1234"/>
          </w:tcPr>
          <w:p>
            <w:r>
              <w:rPr>
                <w:rFonts w:ascii="Calibri" w:hAnsi="Calibri"/>
                <w:sz w:val="22"/>
              </w:rPr>
              <w:t>N/A</w:t>
            </w:r>
          </w:p>
        </w:tc>
      </w:tr>
      <w:tr>
        <w:tc>
          <w:tcPr>
            <w:tcW w:type="dxa" w:w="1234"/>
          </w:tcPr>
          <w:p>
            <w:r>
              <w:rPr>
                <w:rFonts w:ascii="Calibri" w:hAnsi="Calibri"/>
                <w:sz w:val="22"/>
              </w:rPr>
              <w:t>Direct Customers</w:t>
            </w:r>
          </w:p>
        </w:tc>
        <w:tc>
          <w:tcPr>
            <w:tcW w:type="dxa" w:w="1234"/>
          </w:tcPr>
          <w:p>
            <w:r>
              <w:rPr>
                <w:rFonts w:ascii="Calibri" w:hAnsi="Calibri"/>
                <w:sz w:val="22"/>
              </w:rPr>
              <w:t>41.87M</w:t>
            </w:r>
          </w:p>
        </w:tc>
        <w:tc>
          <w:tcPr>
            <w:tcW w:type="dxa" w:w="1234"/>
          </w:tcPr>
          <w:p>
            <w:r>
              <w:rPr>
                <w:rFonts w:ascii="Calibri" w:hAnsi="Calibri"/>
                <w:sz w:val="22"/>
              </w:rPr>
              <w:t>40.60M</w:t>
            </w:r>
          </w:p>
        </w:tc>
        <w:tc>
          <w:tcPr>
            <w:tcW w:type="dxa" w:w="1234"/>
          </w:tcPr>
          <w:p>
            <w:r>
              <w:rPr>
                <w:rFonts w:ascii="Calibri" w:hAnsi="Calibri"/>
                <w:sz w:val="22"/>
              </w:rPr>
              <w:t>42.00M</w:t>
            </w:r>
          </w:p>
        </w:tc>
        <w:tc>
          <w:tcPr>
            <w:tcW w:type="dxa" w:w="1234"/>
          </w:tcPr>
          <w:p>
            <w:r>
              <w:rPr>
                <w:rFonts w:ascii="Calibri" w:hAnsi="Calibri"/>
                <w:sz w:val="22"/>
              </w:rPr>
              <w:t>+3.5%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Direct ARPU (monthly)</w:t>
            </w:r>
          </w:p>
        </w:tc>
        <w:tc>
          <w:tcPr>
            <w:tcW w:type="dxa" w:w="1234"/>
          </w:tcPr>
          <w:p>
            <w:r>
              <w:rPr>
                <w:rFonts w:ascii="Calibri" w:hAnsi="Calibri"/>
                <w:sz w:val="22"/>
              </w:rPr>
              <w:t>$7.50</w:t>
            </w:r>
          </w:p>
        </w:tc>
        <w:tc>
          <w:tcPr>
            <w:tcW w:type="dxa" w:w="1234"/>
          </w:tcPr>
          <w:p>
            <w:r>
              <w:rPr>
                <w:rFonts w:ascii="Calibri" w:hAnsi="Calibri"/>
                <w:sz w:val="22"/>
              </w:rPr>
              <w:t>$7.25</w:t>
            </w:r>
          </w:p>
        </w:tc>
        <w:tc>
          <w:tcPr>
            <w:tcW w:type="dxa" w:w="1234"/>
          </w:tcPr>
          <w:p>
            <w:r>
              <w:rPr>
                <w:rFonts w:ascii="Calibri" w:hAnsi="Calibri"/>
                <w:sz w:val="22"/>
              </w:rPr>
              <w:t>$7.52</w:t>
            </w:r>
          </w:p>
        </w:tc>
        <w:tc>
          <w:tcPr>
            <w:tcW w:type="dxa" w:w="1234"/>
          </w:tcPr>
          <w:p>
            <w:r>
              <w:rPr>
                <w:rFonts w:ascii="Calibri" w:hAnsi="Calibri"/>
                <w:sz w:val="22"/>
              </w:rPr>
              <w:t>+3.7%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Direct Customer Retention Rate</w:t>
            </w:r>
          </w:p>
        </w:tc>
        <w:tc>
          <w:tcPr>
            <w:tcW w:type="dxa" w:w="1234"/>
          </w:tcPr>
          <w:p>
            <w:r>
              <w:rPr>
                <w:rFonts w:ascii="Calibri" w:hAnsi="Calibri"/>
                <w:sz w:val="22"/>
              </w:rPr>
              <w:t>78.7%</w:t>
            </w:r>
          </w:p>
        </w:tc>
        <w:tc>
          <w:tcPr>
            <w:tcW w:type="dxa" w:w="1234"/>
          </w:tcPr>
          <w:p>
            <w:r>
              <w:rPr>
                <w:rFonts w:ascii="Calibri" w:hAnsi="Calibri"/>
                <w:sz w:val="22"/>
              </w:rPr>
              <w:t>77.7%</w:t>
            </w:r>
          </w:p>
        </w:tc>
        <w:tc>
          <w:tcPr>
            <w:tcW w:type="dxa" w:w="1234"/>
          </w:tcPr>
          <w:p>
            <w:r>
              <w:rPr>
                <w:rFonts w:ascii="Calibri" w:hAnsi="Calibri"/>
                <w:sz w:val="22"/>
              </w:rPr>
              <w:t>78.8%</w:t>
            </w:r>
          </w:p>
        </w:tc>
        <w:tc>
          <w:tcPr>
            <w:tcW w:type="dxa" w:w="1234"/>
          </w:tcPr>
          <w:p>
            <w:r>
              <w:rPr>
                <w:rFonts w:ascii="Calibri" w:hAnsi="Calibri"/>
                <w:sz w:val="22"/>
              </w:rPr>
              <w:t>+110 bps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Free Cash Flow</w:t>
            </w:r>
          </w:p>
        </w:tc>
        <w:tc>
          <w:tcPr>
            <w:tcW w:type="dxa" w:w="1234"/>
          </w:tcPr>
          <w:p>
            <w:r>
              <w:rPr>
                <w:rFonts w:ascii="Calibri" w:hAnsi="Calibri"/>
                <w:sz w:val="22"/>
              </w:rPr>
              <w:t>$449M</w:t>
            </w:r>
          </w:p>
        </w:tc>
        <w:tc>
          <w:tcPr>
            <w:tcW w:type="dxa" w:w="1234"/>
          </w:tcPr>
          <w:p>
            <w:r>
              <w:rPr>
                <w:rFonts w:ascii="Calibri" w:hAnsi="Calibri"/>
                <w:sz w:val="22"/>
              </w:rPr>
              <w:t>$410M</w:t>
            </w:r>
          </w:p>
        </w:tc>
        <w:tc>
          <w:tcPr>
            <w:tcW w:type="dxa" w:w="1234"/>
          </w:tcPr>
          <w:p>
            <w:r>
              <w:rPr>
                <w:rFonts w:ascii="Calibri" w:hAnsi="Calibri"/>
                <w:sz w:val="22"/>
              </w:rPr>
              <w:t>$332M</w:t>
            </w:r>
          </w:p>
        </w:tc>
        <w:tc>
          <w:tcPr>
            <w:tcW w:type="dxa" w:w="1234"/>
          </w:tcPr>
          <w:p>
            <w:r>
              <w:rPr>
                <w:rFonts w:ascii="Calibri" w:hAnsi="Calibri"/>
                <w:sz w:val="22"/>
              </w:rPr>
              <w:t>-19% YoY</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All figures in USD. Q1 FY2027 = quarter ending June 30, 2026. Q1 FY2026 = quarter ending June 30, 2025. Note: MoneyLion revenue consensus of $269M implies ~60% YoY growth vs. $168M in Q1 FY2026; partner revenue consensus of $193M implies ~15% YoY growth. Cyber Safety revenue YoY comparison reflects the Q1 FY2026 actual of $869M which included a large one-time partner contribution; underlying segment growth guidance is mid-single digits.</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Q4 FY2026</w:t>
            </w:r>
          </w:p>
        </w:tc>
        <w:tc>
          <w:tcPr>
            <w:tcW w:type="dxa" w:w="1440"/>
          </w:tcPr>
          <w:p>
            <w:r>
              <w:rPr>
                <w:rFonts w:ascii="Calibri" w:hAnsi="Calibri"/>
                <w:sz w:val="22"/>
              </w:rPr>
              <w:t>Net Revenue</w:t>
            </w:r>
          </w:p>
        </w:tc>
        <w:tc>
          <w:tcPr>
            <w:tcW w:type="dxa" w:w="1440"/>
          </w:tcPr>
          <w:p>
            <w:r>
              <w:rPr>
                <w:rFonts w:ascii="Calibri" w:hAnsi="Calibri"/>
                <w:sz w:val="22"/>
              </w:rPr>
              <w:t>$1,283M</w:t>
            </w:r>
          </w:p>
        </w:tc>
        <w:tc>
          <w:tcPr>
            <w:tcW w:type="dxa" w:w="1440"/>
          </w:tcPr>
          <w:p>
            <w:r>
              <w:rPr>
                <w:rFonts w:ascii="Calibri" w:hAnsi="Calibri"/>
                <w:sz w:val="22"/>
              </w:rPr>
              <w:t>$1,250M</w:t>
            </w:r>
          </w:p>
        </w:tc>
        <w:tc>
          <w:tcPr>
            <w:tcW w:type="dxa" w:w="1440"/>
          </w:tcPr>
          <w:p>
            <w:r>
              <w:rPr>
                <w:rFonts w:ascii="Calibri" w:hAnsi="Calibri"/>
                <w:b/>
                <w:color w:val="30A46C"/>
                <w:sz w:val="22"/>
              </w:rPr>
              <w:t>+2.7%</w:t>
            </w:r>
          </w:p>
        </w:tc>
        <w:tc>
          <w:tcPr>
            <w:tcW w:type="dxa" w:w="1440"/>
          </w:tcPr>
          <w:p>
            <w:r>
              <w:rPr>
                <w:rFonts w:ascii="Calibri" w:hAnsi="Calibri"/>
                <w:sz w:val="22"/>
              </w:rPr>
              <w:t>Beat</w:t>
            </w:r>
          </w:p>
        </w:tc>
      </w:tr>
      <w:tr>
        <w:tc>
          <w:tcPr>
            <w:tcW w:type="dxa" w:w="1440"/>
          </w:tcPr>
          <w:p>
            <w:r>
              <w:rPr>
                <w:rFonts w:ascii="Calibri" w:hAnsi="Calibri"/>
                <w:sz w:val="22"/>
              </w:rPr>
              <w:t>Q4 FY2026</w:t>
            </w:r>
          </w:p>
        </w:tc>
        <w:tc>
          <w:tcPr>
            <w:tcW w:type="dxa" w:w="1440"/>
          </w:tcPr>
          <w:p>
            <w:r>
              <w:rPr>
                <w:rFonts w:ascii="Calibri" w:hAnsi="Calibri"/>
                <w:sz w:val="22"/>
              </w:rPr>
              <w:t>EPS (Diluted, Op.)</w:t>
            </w:r>
          </w:p>
        </w:tc>
        <w:tc>
          <w:tcPr>
            <w:tcW w:type="dxa" w:w="1440"/>
          </w:tcPr>
          <w:p>
            <w:r>
              <w:rPr>
                <w:rFonts w:ascii="Calibri" w:hAnsi="Calibri"/>
                <w:sz w:val="22"/>
              </w:rPr>
              <w:t>$0.67</w:t>
            </w:r>
          </w:p>
        </w:tc>
        <w:tc>
          <w:tcPr>
            <w:tcW w:type="dxa" w:w="1440"/>
          </w:tcPr>
          <w:p>
            <w:r>
              <w:rPr>
                <w:rFonts w:ascii="Calibri" w:hAnsi="Calibri"/>
                <w:sz w:val="22"/>
              </w:rPr>
              <w:t>$0.65</w:t>
            </w:r>
          </w:p>
        </w:tc>
        <w:tc>
          <w:tcPr>
            <w:tcW w:type="dxa" w:w="1440"/>
          </w:tcPr>
          <w:p>
            <w:r>
              <w:rPr>
                <w:rFonts w:ascii="Calibri" w:hAnsi="Calibri"/>
                <w:b/>
                <w:color w:val="30A46C"/>
                <w:sz w:val="22"/>
              </w:rPr>
              <w:t>+3.1%</w:t>
            </w:r>
          </w:p>
        </w:tc>
        <w:tc>
          <w:tcPr>
            <w:tcW w:type="dxa" w:w="1440"/>
          </w:tcPr>
          <w:p>
            <w:r>
              <w:rPr>
                <w:rFonts w:ascii="Calibri" w:hAnsi="Calibri"/>
                <w:sz w:val="22"/>
              </w:rPr>
              <w:t>Beat</w:t>
            </w:r>
          </w:p>
        </w:tc>
      </w:tr>
      <w:tr>
        <w:tc>
          <w:tcPr>
            <w:tcW w:type="dxa" w:w="1440"/>
          </w:tcPr>
          <w:p>
            <w:r>
              <w:rPr>
                <w:rFonts w:ascii="Calibri" w:hAnsi="Calibri"/>
                <w:sz w:val="22"/>
              </w:rPr>
              <w:t>Q3 FY2026</w:t>
            </w:r>
          </w:p>
        </w:tc>
        <w:tc>
          <w:tcPr>
            <w:tcW w:type="dxa" w:w="1440"/>
          </w:tcPr>
          <w:p>
            <w:r>
              <w:rPr>
                <w:rFonts w:ascii="Calibri" w:hAnsi="Calibri"/>
                <w:sz w:val="22"/>
              </w:rPr>
              <w:t>Net Revenue</w:t>
            </w:r>
          </w:p>
        </w:tc>
        <w:tc>
          <w:tcPr>
            <w:tcW w:type="dxa" w:w="1440"/>
          </w:tcPr>
          <w:p>
            <w:r>
              <w:rPr>
                <w:rFonts w:ascii="Calibri" w:hAnsi="Calibri"/>
                <w:sz w:val="22"/>
              </w:rPr>
              <w:t>$1,240M</w:t>
            </w:r>
          </w:p>
        </w:tc>
        <w:tc>
          <w:tcPr>
            <w:tcW w:type="dxa" w:w="1440"/>
          </w:tcPr>
          <w:p>
            <w:r>
              <w:rPr>
                <w:rFonts w:ascii="Calibri" w:hAnsi="Calibri"/>
                <w:sz w:val="22"/>
              </w:rPr>
              <w:t>$1,230M</w:t>
            </w:r>
          </w:p>
        </w:tc>
        <w:tc>
          <w:tcPr>
            <w:tcW w:type="dxa" w:w="1440"/>
          </w:tcPr>
          <w:p>
            <w:r>
              <w:rPr>
                <w:rFonts w:ascii="Calibri" w:hAnsi="Calibri"/>
                <w:b/>
                <w:color w:val="30A46C"/>
                <w:sz w:val="22"/>
              </w:rPr>
              <w:t>+0.8%</w:t>
            </w:r>
          </w:p>
        </w:tc>
        <w:tc>
          <w:tcPr>
            <w:tcW w:type="dxa" w:w="1440"/>
          </w:tcPr>
          <w:p>
            <w:r>
              <w:rPr>
                <w:rFonts w:ascii="Calibri" w:hAnsi="Calibri"/>
                <w:sz w:val="22"/>
              </w:rPr>
              <w:t>Beat</w:t>
            </w:r>
          </w:p>
        </w:tc>
      </w:tr>
      <w:tr>
        <w:tc>
          <w:tcPr>
            <w:tcW w:type="dxa" w:w="1440"/>
          </w:tcPr>
          <w:p>
            <w:r>
              <w:rPr>
                <w:rFonts w:ascii="Calibri" w:hAnsi="Calibri"/>
                <w:sz w:val="22"/>
              </w:rPr>
              <w:t>Q3 FY2026</w:t>
            </w:r>
          </w:p>
        </w:tc>
        <w:tc>
          <w:tcPr>
            <w:tcW w:type="dxa" w:w="1440"/>
          </w:tcPr>
          <w:p>
            <w:r>
              <w:rPr>
                <w:rFonts w:ascii="Calibri" w:hAnsi="Calibri"/>
                <w:sz w:val="22"/>
              </w:rPr>
              <w:t>EPS (Diluted, Op.)</w:t>
            </w:r>
          </w:p>
        </w:tc>
        <w:tc>
          <w:tcPr>
            <w:tcW w:type="dxa" w:w="1440"/>
          </w:tcPr>
          <w:p>
            <w:r>
              <w:rPr>
                <w:rFonts w:ascii="Calibri" w:hAnsi="Calibri"/>
                <w:sz w:val="22"/>
              </w:rPr>
              <w:t>$0.64</w:t>
            </w:r>
          </w:p>
        </w:tc>
        <w:tc>
          <w:tcPr>
            <w:tcW w:type="dxa" w:w="1440"/>
          </w:tcPr>
          <w:p>
            <w:r>
              <w:rPr>
                <w:rFonts w:ascii="Calibri" w:hAnsi="Calibri"/>
                <w:sz w:val="22"/>
              </w:rPr>
              <w:t>$0.63</w:t>
            </w:r>
          </w:p>
        </w:tc>
        <w:tc>
          <w:tcPr>
            <w:tcW w:type="dxa" w:w="1440"/>
          </w:tcPr>
          <w:p>
            <w:r>
              <w:rPr>
                <w:rFonts w:ascii="Calibri" w:hAnsi="Calibri"/>
                <w:b/>
                <w:color w:val="30A46C"/>
                <w:sz w:val="22"/>
              </w:rPr>
              <w:t>+1.6%</w:t>
            </w:r>
          </w:p>
        </w:tc>
        <w:tc>
          <w:tcPr>
            <w:tcW w:type="dxa" w:w="1440"/>
          </w:tcPr>
          <w:p>
            <w:r>
              <w:rPr>
                <w:rFonts w:ascii="Calibri" w:hAnsi="Calibri"/>
                <w:sz w:val="22"/>
              </w:rPr>
              <w:t>Beat</w:t>
            </w:r>
          </w:p>
        </w:tc>
      </w:tr>
      <w:tr>
        <w:tc>
          <w:tcPr>
            <w:tcW w:type="dxa" w:w="1440"/>
          </w:tcPr>
          <w:p>
            <w:r>
              <w:rPr>
                <w:rFonts w:ascii="Calibri" w:hAnsi="Calibri"/>
                <w:sz w:val="22"/>
              </w:rPr>
              <w:t>Q2 FY2026</w:t>
            </w:r>
          </w:p>
        </w:tc>
        <w:tc>
          <w:tcPr>
            <w:tcW w:type="dxa" w:w="1440"/>
          </w:tcPr>
          <w:p>
            <w:r>
              <w:rPr>
                <w:rFonts w:ascii="Calibri" w:hAnsi="Calibri"/>
                <w:sz w:val="22"/>
              </w:rPr>
              <w:t>Net Revenue</w:t>
            </w:r>
          </w:p>
        </w:tc>
        <w:tc>
          <w:tcPr>
            <w:tcW w:type="dxa" w:w="1440"/>
          </w:tcPr>
          <w:p>
            <w:r>
              <w:rPr>
                <w:rFonts w:ascii="Calibri" w:hAnsi="Calibri"/>
                <w:sz w:val="22"/>
              </w:rPr>
              <w:t>$1,220M</w:t>
            </w:r>
          </w:p>
        </w:tc>
        <w:tc>
          <w:tcPr>
            <w:tcW w:type="dxa" w:w="1440"/>
          </w:tcPr>
          <w:p>
            <w:r>
              <w:rPr>
                <w:rFonts w:ascii="Calibri" w:hAnsi="Calibri"/>
                <w:sz w:val="22"/>
              </w:rPr>
              <w:t>$1,195M</w:t>
            </w:r>
          </w:p>
        </w:tc>
        <w:tc>
          <w:tcPr>
            <w:tcW w:type="dxa" w:w="1440"/>
          </w:tcPr>
          <w:p>
            <w:r>
              <w:rPr>
                <w:rFonts w:ascii="Calibri" w:hAnsi="Calibri"/>
                <w:b/>
                <w:color w:val="30A46C"/>
                <w:sz w:val="22"/>
              </w:rPr>
              <w:t>+2.1%</w:t>
            </w:r>
          </w:p>
        </w:tc>
        <w:tc>
          <w:tcPr>
            <w:tcW w:type="dxa" w:w="1440"/>
          </w:tcPr>
          <w:p>
            <w:r>
              <w:rPr>
                <w:rFonts w:ascii="Calibri" w:hAnsi="Calibri"/>
                <w:sz w:val="22"/>
              </w:rPr>
              <w:t>Beat</w:t>
            </w:r>
          </w:p>
        </w:tc>
      </w:tr>
      <w:tr>
        <w:tc>
          <w:tcPr>
            <w:tcW w:type="dxa" w:w="1440"/>
          </w:tcPr>
          <w:p>
            <w:r>
              <w:rPr>
                <w:rFonts w:ascii="Calibri" w:hAnsi="Calibri"/>
                <w:sz w:val="22"/>
              </w:rPr>
              <w:t>Q2 FY2026</w:t>
            </w:r>
          </w:p>
        </w:tc>
        <w:tc>
          <w:tcPr>
            <w:tcW w:type="dxa" w:w="1440"/>
          </w:tcPr>
          <w:p>
            <w:r>
              <w:rPr>
                <w:rFonts w:ascii="Calibri" w:hAnsi="Calibri"/>
                <w:sz w:val="22"/>
              </w:rPr>
              <w:t>EPS (Diluted, Op.)</w:t>
            </w:r>
          </w:p>
        </w:tc>
        <w:tc>
          <w:tcPr>
            <w:tcW w:type="dxa" w:w="1440"/>
          </w:tcPr>
          <w:p>
            <w:r>
              <w:rPr>
                <w:rFonts w:ascii="Calibri" w:hAnsi="Calibri"/>
                <w:sz w:val="22"/>
              </w:rPr>
              <w:t>$0.62</w:t>
            </w:r>
          </w:p>
        </w:tc>
        <w:tc>
          <w:tcPr>
            <w:tcW w:type="dxa" w:w="1440"/>
          </w:tcPr>
          <w:p>
            <w:r>
              <w:rPr>
                <w:rFonts w:ascii="Calibri" w:hAnsi="Calibri"/>
                <w:sz w:val="22"/>
              </w:rPr>
              <w:t>$0.61</w:t>
            </w:r>
          </w:p>
        </w:tc>
        <w:tc>
          <w:tcPr>
            <w:tcW w:type="dxa" w:w="1440"/>
          </w:tcPr>
          <w:p>
            <w:r>
              <w:rPr>
                <w:rFonts w:ascii="Calibri" w:hAnsi="Calibri"/>
                <w:b/>
                <w:color w:val="30A46C"/>
                <w:sz w:val="22"/>
              </w:rPr>
              <w:t>+1.6%</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Net Revenue</w:t>
            </w:r>
          </w:p>
        </w:tc>
        <w:tc>
          <w:tcPr>
            <w:tcW w:type="dxa" w:w="1440"/>
          </w:tcPr>
          <w:p>
            <w:r>
              <w:rPr>
                <w:rFonts w:ascii="Calibri" w:hAnsi="Calibri"/>
                <w:sz w:val="22"/>
              </w:rPr>
              <w:t>$1,257M</w:t>
            </w:r>
          </w:p>
        </w:tc>
        <w:tc>
          <w:tcPr>
            <w:tcW w:type="dxa" w:w="1440"/>
          </w:tcPr>
          <w:p>
            <w:r>
              <w:rPr>
                <w:rFonts w:ascii="Calibri" w:hAnsi="Calibri"/>
                <w:sz w:val="22"/>
              </w:rPr>
              <w:t>$1,186M</w:t>
            </w:r>
          </w:p>
        </w:tc>
        <w:tc>
          <w:tcPr>
            <w:tcW w:type="dxa" w:w="1440"/>
          </w:tcPr>
          <w:p>
            <w:r>
              <w:rPr>
                <w:rFonts w:ascii="Calibri" w:hAnsi="Calibri"/>
                <w:b/>
                <w:color w:val="30A46C"/>
                <w:sz w:val="22"/>
              </w:rPr>
              <w:t>+6.0%</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EPS (Diluted, Op.)</w:t>
            </w:r>
          </w:p>
        </w:tc>
        <w:tc>
          <w:tcPr>
            <w:tcW w:type="dxa" w:w="1440"/>
          </w:tcPr>
          <w:p>
            <w:r>
              <w:rPr>
                <w:rFonts w:ascii="Calibri" w:hAnsi="Calibri"/>
                <w:sz w:val="22"/>
              </w:rPr>
              <w:t>$0.64</w:t>
            </w:r>
          </w:p>
        </w:tc>
        <w:tc>
          <w:tcPr>
            <w:tcW w:type="dxa" w:w="1440"/>
          </w:tcPr>
          <w:p>
            <w:r>
              <w:rPr>
                <w:rFonts w:ascii="Calibri" w:hAnsi="Calibri"/>
                <w:sz w:val="22"/>
              </w:rPr>
              <w:t>$0.60</w:t>
            </w:r>
          </w:p>
        </w:tc>
        <w:tc>
          <w:tcPr>
            <w:tcW w:type="dxa" w:w="1440"/>
          </w:tcPr>
          <w:p>
            <w:r>
              <w:rPr>
                <w:rFonts w:ascii="Calibri" w:hAnsi="Calibri"/>
                <w:b/>
                <w:color w:val="30A46C"/>
                <w:sz w:val="22"/>
              </w:rPr>
              <w:t>+6.7%</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Net Revenue</w:t>
            </w:r>
          </w:p>
        </w:tc>
        <w:tc>
          <w:tcPr>
            <w:tcW w:type="dxa" w:w="1440"/>
          </w:tcPr>
          <w:p>
            <w:r>
              <w:rPr>
                <w:rFonts w:ascii="Calibri" w:hAnsi="Calibri"/>
                <w:sz w:val="22"/>
              </w:rPr>
              <w:t>$1,010M</w:t>
            </w:r>
          </w:p>
        </w:tc>
        <w:tc>
          <w:tcPr>
            <w:tcW w:type="dxa" w:w="1440"/>
          </w:tcPr>
          <w:p>
            <w:r>
              <w:rPr>
                <w:rFonts w:ascii="Calibri" w:hAnsi="Calibri"/>
                <w:sz w:val="22"/>
              </w:rPr>
              <w:t>$997M</w:t>
            </w:r>
          </w:p>
        </w:tc>
        <w:tc>
          <w:tcPr>
            <w:tcW w:type="dxa" w:w="1440"/>
          </w:tcPr>
          <w:p>
            <w:r>
              <w:rPr>
                <w:rFonts w:ascii="Calibri" w:hAnsi="Calibri"/>
                <w:b/>
                <w:color w:val="30A46C"/>
                <w:sz w:val="22"/>
              </w:rPr>
              <w:t>+1.3%</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EPS (Diluted, Op.)</w:t>
            </w:r>
          </w:p>
        </w:tc>
        <w:tc>
          <w:tcPr>
            <w:tcW w:type="dxa" w:w="1440"/>
          </w:tcPr>
          <w:p>
            <w:r>
              <w:rPr>
                <w:rFonts w:ascii="Calibri" w:hAnsi="Calibri"/>
                <w:sz w:val="22"/>
              </w:rPr>
              <w:t>$0.59</w:t>
            </w:r>
          </w:p>
        </w:tc>
        <w:tc>
          <w:tcPr>
            <w:tcW w:type="dxa" w:w="1440"/>
          </w:tcPr>
          <w:p>
            <w:r>
              <w:rPr>
                <w:rFonts w:ascii="Calibri" w:hAnsi="Calibri"/>
                <w:sz w:val="22"/>
              </w:rPr>
              <w:t>$0.58</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Q3 FY2025</w:t>
            </w:r>
          </w:p>
        </w:tc>
        <w:tc>
          <w:tcPr>
            <w:tcW w:type="dxa" w:w="1440"/>
          </w:tcPr>
          <w:p>
            <w:r>
              <w:rPr>
                <w:rFonts w:ascii="Calibri" w:hAnsi="Calibri"/>
                <w:sz w:val="22"/>
              </w:rPr>
              <w:t>Net Revenue</w:t>
            </w:r>
          </w:p>
        </w:tc>
        <w:tc>
          <w:tcPr>
            <w:tcW w:type="dxa" w:w="1440"/>
          </w:tcPr>
          <w:p>
            <w:r>
              <w:rPr>
                <w:rFonts w:ascii="Calibri" w:hAnsi="Calibri"/>
                <w:sz w:val="22"/>
              </w:rPr>
              <w:t>$986M</w:t>
            </w:r>
          </w:p>
        </w:tc>
        <w:tc>
          <w:tcPr>
            <w:tcW w:type="dxa" w:w="1440"/>
          </w:tcPr>
          <w:p>
            <w:r>
              <w:rPr>
                <w:rFonts w:ascii="Calibri" w:hAnsi="Calibri"/>
                <w:sz w:val="22"/>
              </w:rPr>
              <w:t>$985M</w:t>
            </w:r>
          </w:p>
        </w:tc>
        <w:tc>
          <w:tcPr>
            <w:tcW w:type="dxa" w:w="1440"/>
          </w:tcPr>
          <w:p>
            <w:r>
              <w:rPr>
                <w:rFonts w:ascii="Calibri" w:hAnsi="Calibri"/>
                <w:b/>
                <w:color w:val="30A46C"/>
                <w:sz w:val="22"/>
              </w:rPr>
              <w:t>+0.1%</w:t>
            </w:r>
          </w:p>
        </w:tc>
        <w:tc>
          <w:tcPr>
            <w:tcW w:type="dxa" w:w="1440"/>
          </w:tcPr>
          <w:p>
            <w:r>
              <w:rPr>
                <w:rFonts w:ascii="Calibri" w:hAnsi="Calibri"/>
                <w:sz w:val="22"/>
              </w:rPr>
              <w:t>Beat</w:t>
            </w:r>
          </w:p>
        </w:tc>
      </w:tr>
      <w:tr>
        <w:tc>
          <w:tcPr>
            <w:tcW w:type="dxa" w:w="1440"/>
          </w:tcPr>
          <w:p>
            <w:r>
              <w:rPr>
                <w:rFonts w:ascii="Calibri" w:hAnsi="Calibri"/>
                <w:sz w:val="22"/>
              </w:rPr>
              <w:t>Q3 FY2025</w:t>
            </w:r>
          </w:p>
        </w:tc>
        <w:tc>
          <w:tcPr>
            <w:tcW w:type="dxa" w:w="1440"/>
          </w:tcPr>
          <w:p>
            <w:r>
              <w:rPr>
                <w:rFonts w:ascii="Calibri" w:hAnsi="Calibri"/>
                <w:sz w:val="22"/>
              </w:rPr>
              <w:t>EPS (Diluted, Op.)</w:t>
            </w:r>
          </w:p>
        </w:tc>
        <w:tc>
          <w:tcPr>
            <w:tcW w:type="dxa" w:w="1440"/>
          </w:tcPr>
          <w:p>
            <w:r>
              <w:rPr>
                <w:rFonts w:ascii="Calibri" w:hAnsi="Calibri"/>
                <w:sz w:val="22"/>
              </w:rPr>
              <w:t>$0.56</w:t>
            </w:r>
          </w:p>
        </w:tc>
        <w:tc>
          <w:tcPr>
            <w:tcW w:type="dxa" w:w="1440"/>
          </w:tcPr>
          <w:p>
            <w:r>
              <w:rPr>
                <w:rFonts w:ascii="Calibri" w:hAnsi="Calibri"/>
                <w:sz w:val="22"/>
              </w:rPr>
              <w:t>$0.55</w:t>
            </w:r>
          </w:p>
        </w:tc>
        <w:tc>
          <w:tcPr>
            <w:tcW w:type="dxa" w:w="1440"/>
          </w:tcPr>
          <w:p>
            <w:r>
              <w:rPr>
                <w:rFonts w:ascii="Calibri" w:hAnsi="Calibri"/>
                <w:b/>
                <w:color w:val="30A46C"/>
                <w:sz w:val="22"/>
              </w:rPr>
              <w:t>+1.8%</w:t>
            </w:r>
          </w:p>
        </w:tc>
        <w:tc>
          <w:tcPr>
            <w:tcW w:type="dxa" w:w="1440"/>
          </w:tcPr>
          <w:p>
            <w:r>
              <w:rPr>
                <w:rFonts w:ascii="Calibri" w:hAnsi="Calibri"/>
                <w:sz w:val="22"/>
              </w:rPr>
              <w:t>Beat</w:t>
            </w:r>
          </w:p>
        </w:tc>
      </w:tr>
      <w:tr>
        <w:tc>
          <w:tcPr>
            <w:tcW w:type="dxa" w:w="1440"/>
          </w:tcPr>
          <w:p>
            <w:r>
              <w:rPr>
                <w:rFonts w:ascii="Calibri" w:hAnsi="Calibri"/>
                <w:sz w:val="22"/>
              </w:rPr>
              <w:t>Q2 FY2025</w:t>
            </w:r>
          </w:p>
        </w:tc>
        <w:tc>
          <w:tcPr>
            <w:tcW w:type="dxa" w:w="1440"/>
          </w:tcPr>
          <w:p>
            <w:r>
              <w:rPr>
                <w:rFonts w:ascii="Calibri" w:hAnsi="Calibri"/>
                <w:sz w:val="22"/>
              </w:rPr>
              <w:t>Net Revenue</w:t>
            </w:r>
          </w:p>
        </w:tc>
        <w:tc>
          <w:tcPr>
            <w:tcW w:type="dxa" w:w="1440"/>
          </w:tcPr>
          <w:p>
            <w:r>
              <w:rPr>
                <w:rFonts w:ascii="Calibri" w:hAnsi="Calibri"/>
                <w:sz w:val="22"/>
              </w:rPr>
              <w:t>$974M</w:t>
            </w:r>
          </w:p>
        </w:tc>
        <w:tc>
          <w:tcPr>
            <w:tcW w:type="dxa" w:w="1440"/>
          </w:tcPr>
          <w:p>
            <w:r>
              <w:rPr>
                <w:rFonts w:ascii="Calibri" w:hAnsi="Calibri"/>
                <w:sz w:val="22"/>
              </w:rPr>
              <w:t>$970M</w:t>
            </w:r>
          </w:p>
        </w:tc>
        <w:tc>
          <w:tcPr>
            <w:tcW w:type="dxa" w:w="1440"/>
          </w:tcPr>
          <w:p>
            <w:r>
              <w:rPr>
                <w:rFonts w:ascii="Calibri" w:hAnsi="Calibri"/>
                <w:b/>
                <w:color w:val="30A46C"/>
                <w:sz w:val="22"/>
              </w:rPr>
              <w:t>+0.4%</w:t>
            </w:r>
          </w:p>
        </w:tc>
        <w:tc>
          <w:tcPr>
            <w:tcW w:type="dxa" w:w="1440"/>
          </w:tcPr>
          <w:p>
            <w:r>
              <w:rPr>
                <w:rFonts w:ascii="Calibri" w:hAnsi="Calibri"/>
                <w:sz w:val="22"/>
              </w:rPr>
              <w:t>Beat</w:t>
            </w:r>
          </w:p>
        </w:tc>
      </w:tr>
      <w:tr>
        <w:tc>
          <w:tcPr>
            <w:tcW w:type="dxa" w:w="1440"/>
          </w:tcPr>
          <w:p>
            <w:r>
              <w:rPr>
                <w:rFonts w:ascii="Calibri" w:hAnsi="Calibri"/>
                <w:sz w:val="22"/>
              </w:rPr>
              <w:t>Q2 FY2025</w:t>
            </w:r>
          </w:p>
        </w:tc>
        <w:tc>
          <w:tcPr>
            <w:tcW w:type="dxa" w:w="1440"/>
          </w:tcPr>
          <w:p>
            <w:r>
              <w:rPr>
                <w:rFonts w:ascii="Calibri" w:hAnsi="Calibri"/>
                <w:sz w:val="22"/>
              </w:rPr>
              <w:t>EPS (Diluted, Op.)</w:t>
            </w:r>
          </w:p>
        </w:tc>
        <w:tc>
          <w:tcPr>
            <w:tcW w:type="dxa" w:w="1440"/>
          </w:tcPr>
          <w:p>
            <w:r>
              <w:rPr>
                <w:rFonts w:ascii="Calibri" w:hAnsi="Calibri"/>
                <w:sz w:val="22"/>
              </w:rPr>
              <w:t>$0.54</w:t>
            </w:r>
          </w:p>
        </w:tc>
        <w:tc>
          <w:tcPr>
            <w:tcW w:type="dxa" w:w="1440"/>
          </w:tcPr>
          <w:p>
            <w:r>
              <w:rPr>
                <w:rFonts w:ascii="Calibri" w:hAnsi="Calibri"/>
                <w:sz w:val="22"/>
              </w:rPr>
              <w:t>$0.54</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Q1 FY2025</w:t>
            </w:r>
          </w:p>
        </w:tc>
        <w:tc>
          <w:tcPr>
            <w:tcW w:type="dxa" w:w="1440"/>
          </w:tcPr>
          <w:p>
            <w:r>
              <w:rPr>
                <w:rFonts w:ascii="Calibri" w:hAnsi="Calibri"/>
                <w:sz w:val="22"/>
              </w:rPr>
              <w:t>Net Revenue</w:t>
            </w:r>
          </w:p>
        </w:tc>
        <w:tc>
          <w:tcPr>
            <w:tcW w:type="dxa" w:w="1440"/>
          </w:tcPr>
          <w:p>
            <w:r>
              <w:rPr>
                <w:rFonts w:ascii="Calibri" w:hAnsi="Calibri"/>
                <w:sz w:val="22"/>
              </w:rPr>
              <w:t>$965M</w:t>
            </w:r>
          </w:p>
        </w:tc>
        <w:tc>
          <w:tcPr>
            <w:tcW w:type="dxa" w:w="1440"/>
          </w:tcPr>
          <w:p>
            <w:r>
              <w:rPr>
                <w:rFonts w:ascii="Calibri" w:hAnsi="Calibri"/>
                <w:sz w:val="22"/>
              </w:rPr>
              <w:t>$964M</w:t>
            </w:r>
          </w:p>
        </w:tc>
        <w:tc>
          <w:tcPr>
            <w:tcW w:type="dxa" w:w="1440"/>
          </w:tcPr>
          <w:p>
            <w:r>
              <w:rPr>
                <w:rFonts w:ascii="Calibri" w:hAnsi="Calibri"/>
                <w:b/>
                <w:color w:val="30A46C"/>
                <w:sz w:val="22"/>
              </w:rPr>
              <w:t>+0.1%</w:t>
            </w:r>
          </w:p>
        </w:tc>
        <w:tc>
          <w:tcPr>
            <w:tcW w:type="dxa" w:w="1440"/>
          </w:tcPr>
          <w:p>
            <w:r>
              <w:rPr>
                <w:rFonts w:ascii="Calibri" w:hAnsi="Calibri"/>
                <w:sz w:val="22"/>
              </w:rPr>
              <w:t>Beat</w:t>
            </w:r>
          </w:p>
        </w:tc>
      </w:tr>
      <w:tr>
        <w:tc>
          <w:tcPr>
            <w:tcW w:type="dxa" w:w="1440"/>
          </w:tcPr>
          <w:p>
            <w:r>
              <w:rPr>
                <w:rFonts w:ascii="Calibri" w:hAnsi="Calibri"/>
                <w:sz w:val="22"/>
              </w:rPr>
              <w:t>Q1 FY2025</w:t>
            </w:r>
          </w:p>
        </w:tc>
        <w:tc>
          <w:tcPr>
            <w:tcW w:type="dxa" w:w="1440"/>
          </w:tcPr>
          <w:p>
            <w:r>
              <w:rPr>
                <w:rFonts w:ascii="Calibri" w:hAnsi="Calibri"/>
                <w:sz w:val="22"/>
              </w:rPr>
              <w:t>EPS (Diluted, Op.)</w:t>
            </w:r>
          </w:p>
        </w:tc>
        <w:tc>
          <w:tcPr>
            <w:tcW w:type="dxa" w:w="1440"/>
          </w:tcPr>
          <w:p>
            <w:r>
              <w:rPr>
                <w:rFonts w:ascii="Calibri" w:hAnsi="Calibri"/>
                <w:sz w:val="22"/>
              </w:rPr>
              <w:t>$0.53</w:t>
            </w:r>
          </w:p>
        </w:tc>
        <w:tc>
          <w:tcPr>
            <w:tcW w:type="dxa" w:w="1440"/>
          </w:tcPr>
          <w:p>
            <w:r>
              <w:rPr>
                <w:rFonts w:ascii="Calibri" w:hAnsi="Calibri"/>
                <w:sz w:val="22"/>
              </w:rPr>
              <w:t>$0.53</w:t>
            </w:r>
          </w:p>
        </w:tc>
        <w:tc>
          <w:tcPr>
            <w:tcW w:type="dxa" w:w="1440"/>
          </w:tcPr>
          <w:p>
            <w:r>
              <w:rPr>
                <w:rFonts w:ascii="Calibri" w:hAnsi="Calibri"/>
                <w:sz w:val="22"/>
              </w:rPr>
              <w:t>0.0%</w:t>
            </w:r>
          </w:p>
        </w:tc>
        <w:tc>
          <w:tcPr>
            <w:tcW w:type="dxa" w:w="1440"/>
          </w:tcPr>
          <w:p>
            <w:r>
              <w:rPr>
                <w:rFonts w:ascii="Calibri" w:hAnsi="Calibri"/>
                <w:sz w:val="22"/>
              </w:rPr>
              <w:t>In-Line</w:t>
            </w:r>
          </w:p>
        </w:tc>
      </w:tr>
    </w:tbl>
    <w:p>
      <w:r>
        <w:rPr>
          <w:rFonts w:ascii="Calibri" w:hAnsi="Calibri"/>
          <w:i/>
          <w:color w:val="525866"/>
          <w:sz w:val="22"/>
        </w:rPr>
        <w:t xml:space="preserve">Source: Visible Alpha Consensus and Actuals Data. </w:t>
      </w:r>
      <w:r>
        <w:rPr>
          <w:rFonts w:ascii="Calibri" w:hAnsi="Calibri"/>
          <w:i/>
          <w:color w:val="525866"/>
          <w:sz w:val="22"/>
        </w:rPr>
        <w:t>Pattern: GEN has beaten or matched consensus on both revenue and EPS in each of the last 8 quarters, with the largest beats occurring in Q1 FY2026 (+6.0% revenue, +6.7% EPS) when MoneyLion was first consolidated; more recent beats have been smaller (1–3%) as the Street has caught up to the MoneyLion contribution, suggesting the bar is now more accurately set.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not been formally revised since the May 7 earnings call, but management's tone was materially more confident — the FY2027 revenue growth outlook was raised to 8–10% (from a prior mid-single-digit target), representing a structural step-change. </w:t>
      </w:r>
      <w:r>
        <w:rPr>
          <w:rFonts w:ascii="Calibri" w:hAnsi="Calibri"/>
          <w:b/>
          <w:color w:val="525866"/>
          <w:sz w:val="22"/>
        </w:rPr>
        <w:t>No post-earnings 8-K or conference update has changed the numbers; the May 7 guide remains the baseline.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(May 7, 2026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Q1 FY2027 Revenue</w:t>
            </w:r>
          </w:p>
        </w:tc>
        <w:tc>
          <w:tcPr>
            <w:tcW w:type="dxa" w:w="1728"/>
          </w:tcPr>
          <w:p>
            <w:r>
              <w:rPr>
                <w:rFonts w:ascii="Calibri" w:hAnsi="Calibri"/>
                <w:sz w:val="22"/>
              </w:rPr>
              <w:t>$1,300M – $1,325M (8–10% pro forma growth)</w:t>
            </w:r>
          </w:p>
        </w:tc>
        <w:tc>
          <w:tcPr>
            <w:tcW w:type="dxa" w:w="1728"/>
          </w:tcPr>
          <w:p>
            <w:r>
              <w:rPr>
                <w:rFonts w:ascii="Calibri" w:hAnsi="Calibri"/>
                <w:sz w:val="22"/>
              </w:rPr>
              <w:t>—</w:t>
            </w:r>
          </w:p>
        </w:tc>
        <w:tc>
          <w:tcPr>
            <w:tcW w:type="dxa" w:w="1728"/>
          </w:tcPr>
          <w:p>
            <w:r>
              <w:rPr>
                <w:rFonts w:ascii="Calibri" w:hAnsi="Calibri"/>
                <w:sz w:val="22"/>
              </w:rPr>
              <w:t>$1,314M</w:t>
            </w:r>
          </w:p>
        </w:tc>
        <w:tc>
          <w:tcPr>
            <w:tcW w:type="dxa" w:w="1728"/>
          </w:tcPr>
          <w:p>
            <w:r>
              <w:rPr>
                <w:rFonts w:ascii="Calibri" w:hAnsi="Calibri"/>
                <w:sz w:val="22"/>
              </w:rPr>
              <w:t>Unchanged; consensus at midpoint of range</w:t>
            </w:r>
          </w:p>
        </w:tc>
      </w:tr>
      <w:tr>
        <w:tc>
          <w:tcPr>
            <w:tcW w:type="dxa" w:w="1728"/>
          </w:tcPr>
          <w:p>
            <w:r>
              <w:rPr>
                <w:rFonts w:ascii="Calibri" w:hAnsi="Calibri"/>
                <w:sz w:val="22"/>
              </w:rPr>
              <w:t>Q1 FY2027 EPS (Non-GAAP)</w:t>
            </w:r>
          </w:p>
        </w:tc>
        <w:tc>
          <w:tcPr>
            <w:tcW w:type="dxa" w:w="1728"/>
          </w:tcPr>
          <w:p>
            <w:r>
              <w:rPr>
                <w:rFonts w:ascii="Calibri" w:hAnsi="Calibri"/>
                <w:sz w:val="22"/>
              </w:rPr>
              <w:t>$0.68 – $0.70 (13–17% pro forma growth)</w:t>
            </w:r>
          </w:p>
        </w:tc>
        <w:tc>
          <w:tcPr>
            <w:tcW w:type="dxa" w:w="1728"/>
          </w:tcPr>
          <w:p>
            <w:r>
              <w:rPr>
                <w:rFonts w:ascii="Calibri" w:hAnsi="Calibri"/>
                <w:sz w:val="22"/>
              </w:rPr>
              <w:t>—</w:t>
            </w:r>
          </w:p>
        </w:tc>
        <w:tc>
          <w:tcPr>
            <w:tcW w:type="dxa" w:w="1728"/>
          </w:tcPr>
          <w:p>
            <w:r>
              <w:rPr>
                <w:rFonts w:ascii="Calibri" w:hAnsi="Calibri"/>
                <w:sz w:val="22"/>
              </w:rPr>
              <w:t>$0.69</w:t>
            </w:r>
          </w:p>
        </w:tc>
        <w:tc>
          <w:tcPr>
            <w:tcW w:type="dxa" w:w="1728"/>
          </w:tcPr>
          <w:p>
            <w:r>
              <w:rPr>
                <w:rFonts w:ascii="Calibri" w:hAnsi="Calibri"/>
                <w:sz w:val="22"/>
              </w:rPr>
              <w:t>Unchanged; consensus at midpoint of range</w:t>
            </w:r>
          </w:p>
        </w:tc>
      </w:tr>
      <w:tr>
        <w:tc>
          <w:tcPr>
            <w:tcW w:type="dxa" w:w="1728"/>
          </w:tcPr>
          <w:p>
            <w:r>
              <w:rPr>
                <w:rFonts w:ascii="Calibri" w:hAnsi="Calibri"/>
                <w:sz w:val="22"/>
              </w:rPr>
              <w:t>FY2027 Revenue</w:t>
            </w:r>
          </w:p>
        </w:tc>
        <w:tc>
          <w:tcPr>
            <w:tcW w:type="dxa" w:w="1728"/>
          </w:tcPr>
          <w:p>
            <w:r>
              <w:rPr>
                <w:rFonts w:ascii="Calibri" w:hAnsi="Calibri"/>
                <w:sz w:val="22"/>
              </w:rPr>
              <w:t>$5,325M – $5,425M (8–10% pro forma growth)</w:t>
            </w:r>
          </w:p>
        </w:tc>
        <w:tc>
          <w:tcPr>
            <w:tcW w:type="dxa" w:w="1728"/>
          </w:tcPr>
          <w:p>
            <w:r>
              <w:rPr>
                <w:rFonts w:ascii="Calibri" w:hAnsi="Calibri"/>
                <w:sz w:val="22"/>
              </w:rPr>
              <w:t>—</w:t>
            </w:r>
          </w:p>
        </w:tc>
        <w:tc>
          <w:tcPr>
            <w:tcW w:type="dxa" w:w="1728"/>
          </w:tcPr>
          <w:p>
            <w:r>
              <w:rPr>
                <w:rFonts w:ascii="Calibri" w:hAnsi="Calibri"/>
                <w:sz w:val="22"/>
              </w:rPr>
              <w:t>$5,378M</w:t>
            </w:r>
          </w:p>
        </w:tc>
        <w:tc>
          <w:tcPr>
            <w:tcW w:type="dxa" w:w="1728"/>
          </w:tcPr>
          <w:p>
            <w:r>
              <w:rPr>
                <w:rFonts w:ascii="Calibri" w:hAnsi="Calibri"/>
                <w:sz w:val="22"/>
              </w:rPr>
              <w:t>Unchanged; consensus slightly above midpoint ($5,375M)</w:t>
            </w:r>
          </w:p>
        </w:tc>
      </w:tr>
      <w:tr>
        <w:tc>
          <w:tcPr>
            <w:tcW w:type="dxa" w:w="1728"/>
          </w:tcPr>
          <w:p>
            <w:r>
              <w:rPr>
                <w:rFonts w:ascii="Calibri" w:hAnsi="Calibri"/>
                <w:sz w:val="22"/>
              </w:rPr>
              <w:t>FY2027 EPS (Non-GAAP)</w:t>
            </w:r>
          </w:p>
        </w:tc>
        <w:tc>
          <w:tcPr>
            <w:tcW w:type="dxa" w:w="1728"/>
          </w:tcPr>
          <w:p>
            <w:r>
              <w:rPr>
                <w:rFonts w:ascii="Calibri" w:hAnsi="Calibri"/>
                <w:sz w:val="22"/>
              </w:rPr>
              <w:t>$2.85 – $2.95 (13–17% pro forma growth; 15% at midpoint)</w:t>
            </w:r>
          </w:p>
        </w:tc>
        <w:tc>
          <w:tcPr>
            <w:tcW w:type="dxa" w:w="1728"/>
          </w:tcPr>
          <w:p>
            <w:r>
              <w:rPr>
                <w:rFonts w:ascii="Calibri" w:hAnsi="Calibri"/>
                <w:sz w:val="22"/>
              </w:rPr>
              <w:t>—</w:t>
            </w:r>
          </w:p>
        </w:tc>
        <w:tc>
          <w:tcPr>
            <w:tcW w:type="dxa" w:w="1728"/>
          </w:tcPr>
          <w:p>
            <w:r>
              <w:rPr>
                <w:rFonts w:ascii="Calibri" w:hAnsi="Calibri"/>
                <w:sz w:val="22"/>
              </w:rPr>
              <w:t>$2.89</w:t>
            </w:r>
          </w:p>
        </w:tc>
        <w:tc>
          <w:tcPr>
            <w:tcW w:type="dxa" w:w="1728"/>
          </w:tcPr>
          <w:p>
            <w:r>
              <w:rPr>
                <w:rFonts w:ascii="Calibri" w:hAnsi="Calibri"/>
                <w:sz w:val="22"/>
              </w:rPr>
              <w:t>Unchanged; consensus slightly below midpoint ($2.90)</w:t>
            </w:r>
          </w:p>
        </w:tc>
      </w:tr>
      <w:tr>
        <w:tc>
          <w:tcPr>
            <w:tcW w:type="dxa" w:w="1728"/>
          </w:tcPr>
          <w:p>
            <w:r>
              <w:rPr>
                <w:rFonts w:ascii="Calibri" w:hAnsi="Calibri"/>
                <w:sz w:val="22"/>
              </w:rPr>
              <w:t>Operating Margin (Overall)</w:t>
            </w:r>
          </w:p>
        </w:tc>
        <w:tc>
          <w:tcPr>
            <w:tcW w:type="dxa" w:w="1728"/>
          </w:tcPr>
          <w:p>
            <w:r>
              <w:rPr>
                <w:rFonts w:ascii="Calibri" w:hAnsi="Calibri"/>
                <w:sz w:val="22"/>
              </w:rPr>
              <w:t>~50% (stable; CS at 61%, TBS at 30%)</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Management guided stable margins; no change expected</w:t>
            </w:r>
          </w:p>
        </w:tc>
      </w:tr>
      <w:tr>
        <w:tc>
          <w:tcPr>
            <w:tcW w:type="dxa" w:w="1728"/>
          </w:tcPr>
          <w:p>
            <w:r>
              <w:rPr>
                <w:rFonts w:ascii="Calibri" w:hAnsi="Calibri"/>
                <w:sz w:val="22"/>
              </w:rPr>
              <w:t>Revenue Synergies (Incremental)</w:t>
            </w:r>
          </w:p>
        </w:tc>
        <w:tc>
          <w:tcPr>
            <w:tcW w:type="dxa" w:w="1728"/>
          </w:tcPr>
          <w:p>
            <w:r>
              <w:rPr>
                <w:rFonts w:ascii="Calibri" w:hAnsi="Calibri"/>
                <w:sz w:val="22"/>
              </w:rPr>
              <w:t>&gt;$100M incremental annual revenue from embedded financial wellness, partner expansion, and Engine growth beginning H2 FY2027</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First quantified synergy target; scaling into FY2028–FY2029</w:t>
            </w:r>
          </w:p>
        </w:tc>
      </w:tr>
    </w:tbl>
    <w:p>
      <w:r>
        <w:rPr>
          <w:rFonts w:ascii="Calibri" w:hAnsi="Calibri"/>
          <w:i/>
          <w:color w:val="525866"/>
          <w:sz w:val="22"/>
        </w:rPr>
        <w:t>Source: GEN Q4 FY2026 Earnings Call Transcript (May 7, 2026); Visible Alpha Consensus and Actuals Data. No post-earnings guidance revisions have been filed via 8-K or announced at conferences. The $50M restructuring program announced May 7 is an operational initiative and does not change revenue or EPS guidance.</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the post-earnings baseline, tracking guidance almost exactly — there is no meaningful divergence between consensus and the guidance midpoint on either revenue or EPS. </w:t>
      </w:r>
      <w:r>
        <w:rPr>
          <w:rFonts w:ascii="Calibri" w:hAnsi="Calibri"/>
          <w:b/>
          <w:color w:val="525866"/>
          <w:sz w:val="22"/>
        </w:rPr>
        <w:t>The lack of upward revision despite strong Q4 beats and a raised FY2027 outlook suggests the Street is in a wait-and-see mode, creating potential for positive revision momentum if Q1 delivers another beat.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May 7 Earnings)</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7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Revenue — Q1 FY2027</w:t>
            </w:r>
          </w:p>
        </w:tc>
        <w:tc>
          <w:tcPr>
            <w:tcW w:type="dxa" w:w="1080"/>
          </w:tcPr>
          <w:p>
            <w:r>
              <w:rPr>
                <w:rFonts w:ascii="Calibri" w:hAnsi="Calibri"/>
                <w:sz w:val="22"/>
              </w:rPr>
              <w:t>$1,315M</w:t>
            </w:r>
          </w:p>
        </w:tc>
        <w:tc>
          <w:tcPr>
            <w:tcW w:type="dxa" w:w="1080"/>
          </w:tcPr>
          <w:p>
            <w:r>
              <w:rPr>
                <w:rFonts w:ascii="Calibri" w:hAnsi="Calibri"/>
                <w:sz w:val="22"/>
              </w:rPr>
              <w:t>$1,314M</w:t>
            </w:r>
          </w:p>
        </w:tc>
        <w:tc>
          <w:tcPr>
            <w:tcW w:type="dxa" w:w="1080"/>
          </w:tcPr>
          <w:p>
            <w:r>
              <w:rPr>
                <w:rFonts w:ascii="Calibri" w:hAnsi="Calibri"/>
                <w:sz w:val="22"/>
              </w:rPr>
              <w:t>-0.1%</w:t>
            </w:r>
          </w:p>
        </w:tc>
        <w:tc>
          <w:tcPr>
            <w:tcW w:type="dxa" w:w="1080"/>
          </w:tcPr>
          <w:p>
            <w:r>
              <w:rPr>
                <w:rFonts w:ascii="Calibri" w:hAnsi="Calibri"/>
                <w:sz w:val="22"/>
              </w:rPr>
              <w:t>$1,300–$1,325M (mid: $1,313M)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midpoint</w:t>
            </w:r>
          </w:p>
        </w:tc>
      </w:tr>
      <w:tr>
        <w:tc>
          <w:tcPr>
            <w:tcW w:type="dxa" w:w="1080"/>
          </w:tcPr>
          <w:p>
            <w:r>
              <w:rPr>
                <w:rFonts w:ascii="Calibri" w:hAnsi="Calibri"/>
                <w:sz w:val="22"/>
              </w:rPr>
              <w:t>EPS (Diluted, Op.) — Q1 FY2027</w:t>
            </w:r>
          </w:p>
        </w:tc>
        <w:tc>
          <w:tcPr>
            <w:tcW w:type="dxa" w:w="1080"/>
          </w:tcPr>
          <w:p>
            <w:r>
              <w:rPr>
                <w:rFonts w:ascii="Calibri" w:hAnsi="Calibri"/>
                <w:sz w:val="22"/>
              </w:rPr>
              <w:t>$0.690</w:t>
            </w:r>
          </w:p>
        </w:tc>
        <w:tc>
          <w:tcPr>
            <w:tcW w:type="dxa" w:w="1080"/>
          </w:tcPr>
          <w:p>
            <w:r>
              <w:rPr>
                <w:rFonts w:ascii="Calibri" w:hAnsi="Calibri"/>
                <w:sz w:val="22"/>
              </w:rPr>
              <w:t>$0.690</w:t>
            </w:r>
          </w:p>
        </w:tc>
        <w:tc>
          <w:tcPr>
            <w:tcW w:type="dxa" w:w="1080"/>
          </w:tcPr>
          <w:p>
            <w:r>
              <w:rPr>
                <w:rFonts w:ascii="Calibri" w:hAnsi="Calibri"/>
                <w:sz w:val="22"/>
              </w:rPr>
              <w:t>0.0%</w:t>
            </w:r>
          </w:p>
        </w:tc>
        <w:tc>
          <w:tcPr>
            <w:tcW w:type="dxa" w:w="1080"/>
          </w:tcPr>
          <w:p>
            <w:r>
              <w:rPr>
                <w:rFonts w:ascii="Calibri" w:hAnsi="Calibri"/>
                <w:sz w:val="22"/>
              </w:rPr>
              <w:t>$0.68–$0.70 (mid: $0.69)</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vs. midpoint</w:t>
            </w:r>
          </w:p>
        </w:tc>
      </w:tr>
      <w:tr>
        <w:tc>
          <w:tcPr>
            <w:tcW w:type="dxa" w:w="1080"/>
          </w:tcPr>
          <w:p>
            <w:r>
              <w:rPr>
                <w:rFonts w:ascii="Calibri" w:hAnsi="Calibri"/>
                <w:sz w:val="22"/>
              </w:rPr>
              <w:t>Net Revenue — FY2027</w:t>
            </w:r>
          </w:p>
        </w:tc>
        <w:tc>
          <w:tcPr>
            <w:tcW w:type="dxa" w:w="1080"/>
          </w:tcPr>
          <w:p>
            <w:r>
              <w:rPr>
                <w:rFonts w:ascii="Calibri" w:hAnsi="Calibri"/>
                <w:sz w:val="22"/>
              </w:rPr>
              <w:t>$5,379M</w:t>
            </w:r>
          </w:p>
        </w:tc>
        <w:tc>
          <w:tcPr>
            <w:tcW w:type="dxa" w:w="1080"/>
          </w:tcPr>
          <w:p>
            <w:r>
              <w:rPr>
                <w:rFonts w:ascii="Calibri" w:hAnsi="Calibri"/>
                <w:sz w:val="22"/>
              </w:rPr>
              <w:t>$5,378M</w:t>
            </w:r>
          </w:p>
        </w:tc>
        <w:tc>
          <w:tcPr>
            <w:tcW w:type="dxa" w:w="1080"/>
          </w:tcPr>
          <w:p>
            <w:r>
              <w:rPr>
                <w:rFonts w:ascii="Calibri" w:hAnsi="Calibri"/>
                <w:sz w:val="22"/>
              </w:rPr>
              <w:t>0.0%</w:t>
            </w:r>
          </w:p>
        </w:tc>
        <w:tc>
          <w:tcPr>
            <w:tcW w:type="dxa" w:w="1080"/>
          </w:tcPr>
          <w:p>
            <w:r>
              <w:rPr>
                <w:rFonts w:ascii="Calibri" w:hAnsi="Calibri"/>
                <w:sz w:val="22"/>
              </w:rPr>
              <w:t>$5,325–$5,425M (mid: $5,375M)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midpoint</w:t>
            </w:r>
          </w:p>
        </w:tc>
      </w:tr>
      <w:tr>
        <w:tc>
          <w:tcPr>
            <w:tcW w:type="dxa" w:w="1080"/>
          </w:tcPr>
          <w:p>
            <w:r>
              <w:rPr>
                <w:rFonts w:ascii="Calibri" w:hAnsi="Calibri"/>
                <w:sz w:val="22"/>
              </w:rPr>
              <w:t>EPS (Diluted, Op.) — FY2027</w:t>
            </w:r>
          </w:p>
        </w:tc>
        <w:tc>
          <w:tcPr>
            <w:tcW w:type="dxa" w:w="1080"/>
          </w:tcPr>
          <w:p>
            <w:r>
              <w:rPr>
                <w:rFonts w:ascii="Calibri" w:hAnsi="Calibri"/>
                <w:sz w:val="22"/>
              </w:rPr>
              <w:t>$2.893</w:t>
            </w:r>
          </w:p>
        </w:tc>
        <w:tc>
          <w:tcPr>
            <w:tcW w:type="dxa" w:w="1080"/>
          </w:tcPr>
          <w:p>
            <w:r>
              <w:rPr>
                <w:rFonts w:ascii="Calibri" w:hAnsi="Calibri"/>
                <w:sz w:val="22"/>
              </w:rPr>
              <w:t>$2.893</w:t>
            </w:r>
          </w:p>
        </w:tc>
        <w:tc>
          <w:tcPr>
            <w:tcW w:type="dxa" w:w="1080"/>
          </w:tcPr>
          <w:p>
            <w:r>
              <w:rPr>
                <w:rFonts w:ascii="Calibri" w:hAnsi="Calibri"/>
                <w:sz w:val="22"/>
              </w:rPr>
              <w:t>0.0%</w:t>
            </w:r>
          </w:p>
        </w:tc>
        <w:tc>
          <w:tcPr>
            <w:tcW w:type="dxa" w:w="1080"/>
          </w:tcPr>
          <w:p>
            <w:r>
              <w:rPr>
                <w:rFonts w:ascii="Calibri" w:hAnsi="Calibri"/>
                <w:sz w:val="22"/>
              </w:rPr>
              <w:t>$2.85–$2.95 (mid: $2.90)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vs. midpoint</w:t>
            </w:r>
          </w:p>
        </w:tc>
      </w:tr>
      <w:tr>
        <w:tc>
          <w:tcPr>
            <w:tcW w:type="dxa" w:w="1080"/>
          </w:tcPr>
          <w:p>
            <w:r>
              <w:rPr>
                <w:rFonts w:ascii="Calibri" w:hAnsi="Calibri"/>
                <w:sz w:val="22"/>
              </w:rPr>
              <w:t>MoneyLion Revenue — FY2027</w:t>
            </w:r>
          </w:p>
        </w:tc>
        <w:tc>
          <w:tcPr>
            <w:tcW w:type="dxa" w:w="1080"/>
          </w:tcPr>
          <w:p>
            <w:r>
              <w:rPr>
                <w:rFonts w:ascii="Calibri" w:hAnsi="Calibri"/>
                <w:sz w:val="22"/>
              </w:rPr>
              <w:t>$1,123M</w:t>
            </w:r>
          </w:p>
        </w:tc>
        <w:tc>
          <w:tcPr>
            <w:tcW w:type="dxa" w:w="1080"/>
          </w:tcPr>
          <w:p>
            <w:r>
              <w:rPr>
                <w:rFonts w:ascii="Calibri" w:hAnsi="Calibri"/>
                <w:sz w:val="22"/>
              </w:rPr>
              <w:t>$1,123M</w:t>
            </w:r>
          </w:p>
        </w:tc>
        <w:tc>
          <w:tcPr>
            <w:tcW w:type="dxa" w:w="1080"/>
          </w:tcPr>
          <w:p>
            <w:r>
              <w:rPr>
                <w:rFonts w:ascii="Calibri" w:hAnsi="Calibri"/>
                <w:sz w:val="22"/>
              </w:rPr>
              <w:t>0.0%</w:t>
            </w:r>
          </w:p>
        </w:tc>
        <w:tc>
          <w:tcPr>
            <w:tcW w:type="dxa" w:w="1080"/>
          </w:tcPr>
          <w:p>
            <w:r>
              <w:rPr>
                <w:rFonts w:ascii="Calibri" w:hAnsi="Calibri"/>
                <w:sz w:val="22"/>
              </w:rPr>
              <w:t>N/A (not guided separately)</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Partner Revenue — FY2027</w:t>
            </w:r>
          </w:p>
        </w:tc>
        <w:tc>
          <w:tcPr>
            <w:tcW w:type="dxa" w:w="1080"/>
          </w:tcPr>
          <w:p>
            <w:r>
              <w:rPr>
                <w:rFonts w:ascii="Calibri" w:hAnsi="Calibri"/>
                <w:sz w:val="22"/>
              </w:rPr>
              <w:t>$664M</w:t>
            </w:r>
          </w:p>
        </w:tc>
        <w:tc>
          <w:tcPr>
            <w:tcW w:type="dxa" w:w="1080"/>
          </w:tcPr>
          <w:p>
            <w:r>
              <w:rPr>
                <w:rFonts w:ascii="Calibri" w:hAnsi="Calibri"/>
                <w:sz w:val="22"/>
              </w:rPr>
              <w:t>$784M</w:t>
            </w:r>
          </w:p>
        </w:tc>
        <w:tc>
          <w:tcPr>
            <w:tcW w:type="dxa" w:w="1080"/>
          </w:tcPr>
          <w:p>
            <w:r>
              <w:rPr>
                <w:rFonts w:ascii="Calibri" w:hAnsi="Calibri"/>
                <w:b/>
                <w:color w:val="30A46C"/>
                <w:sz w:val="22"/>
              </w:rPr>
              <w:t>+18.1%</w:t>
            </w:r>
          </w:p>
        </w:tc>
        <w:tc>
          <w:tcPr>
            <w:tcW w:type="dxa" w:w="1080"/>
          </w:tcPr>
          <w:p>
            <w:r>
              <w:rPr>
                <w:rFonts w:ascii="Calibri" w:hAnsi="Calibri"/>
                <w:sz w:val="22"/>
              </w:rPr>
              <w:t>N/A (not guided separately)</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GEN Q4 FY2026 Earnings Call Transcript (May 7, 2026). </w:t>
      </w:r>
      <w:r>
        <w:rPr>
          <w:rFonts w:ascii="Calibri" w:hAnsi="Calibri"/>
          <w:i/>
          <w:color w:val="525866"/>
          <w:sz w:val="22"/>
        </w:rPr>
        <w:t>The notable exception is partner revenue for FY2027, where the current consensus of $784M is 18% above the as-of-May-12 baseline of $664M — reflecting the Street's upward revision following Q4's 78% reported partner revenue growth and the confirmation that the Investor Day target had been surpassed. This is the one area where estimates have moved materially above the initial post-earnings baseline.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GEN has gained +38% since the May 7 earnings print, broadly in line with the cybersecurity sector (BUG ETF +41%) and well ahead of the S&amp;P 500 (+5%), suggesting the move has been </w:t>
      </w:r>
      <w:r>
        <w:rPr>
          <w:rFonts w:ascii="Calibri" w:hAnsi="Calibri"/>
          <w:b/>
          <w:color w:val="525866"/>
          <w:sz w:val="22"/>
        </w:rPr>
        <w:t>sector-driven by the AI security demand surge (the ‘Mythos’ inflection) rather than GEN-specific fundamental re-rating</w:t>
      </w:r>
      <w:r>
        <w:rPr>
          <w:rFonts w:ascii="Calibri" w:hAnsi="Calibri"/>
          <w:color w:val="525866"/>
          <w:sz w:val="22"/>
        </w:rPr>
        <w:t>. The stock peaked near $28 in early August ahead of the Q1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GEN vs. BUG (Cybersecurity ETF) vs. S&amp;P 500 — Indexed to 100 at May 7, 2026 (Q4 FY2026 Earnings). Source: Stock Price Data.</w:t>
      </w:r>
    </w:p>
    <w:p>
      <w:pPr>
        <w:pStyle w:val="ListBullet"/>
        <w:ind w:left="360" w:hanging="360"/>
      </w:pPr>
      <w:r>
        <w:rPr>
          <w:rFonts w:ascii="Calibri" w:hAnsi="Calibri"/>
          <w:b/>
          <w:color w:val="525866"/>
          <w:sz w:val="22"/>
        </w:rPr>
        <w:t>GEN +38.4%</w:t>
      </w:r>
      <w:r>
        <w:rPr>
          <w:rFonts w:ascii="Calibri" w:hAnsi="Calibri"/>
          <w:color w:val="525866"/>
          <w:sz w:val="22"/>
        </w:rPr>
        <w:t xml:space="preserve"> since May 7 earnings (indexed to 138.4 at Aug 6, 2026 close)</w:t>
      </w:r>
    </w:p>
    <w:p>
      <w:pPr>
        <w:pStyle w:val="ListBullet"/>
        <w:ind w:left="360" w:hanging="360"/>
      </w:pPr>
      <w:r>
        <w:rPr>
          <w:rFonts w:ascii="Calibri" w:hAnsi="Calibri"/>
          <w:b/>
          <w:color w:val="525866"/>
          <w:sz w:val="22"/>
        </w:rPr>
        <w:t>BUG (Cybersecurity ETF) +40.5%</w:t>
      </w:r>
      <w:r>
        <w:rPr>
          <w:rFonts w:ascii="Calibri" w:hAnsi="Calibri"/>
          <w:color w:val="525866"/>
          <w:sz w:val="22"/>
        </w:rPr>
        <w:t xml:space="preserve"> — GEN has broadly tracked the sector, suggesting the move is macro/sector-driven</w:t>
      </w:r>
    </w:p>
    <w:p>
      <w:pPr>
        <w:pStyle w:val="ListBullet"/>
        <w:ind w:left="360" w:hanging="360"/>
      </w:pPr>
      <w:r>
        <w:rPr>
          <w:rFonts w:ascii="Calibri" w:hAnsi="Calibri"/>
          <w:b/>
          <w:color w:val="525866"/>
          <w:sz w:val="22"/>
        </w:rPr>
        <w:t>S&amp;P 500 (SPY) +5.2%</w:t>
      </w:r>
      <w:r>
        <w:rPr>
          <w:rFonts w:ascii="Calibri" w:hAnsi="Calibri"/>
          <w:color w:val="525866"/>
          <w:sz w:val="22"/>
        </w:rPr>
        <w:t xml:space="preserve"> — cybersecurity has dramatically outperformed the broad market since the AI security demand inflection</w:t>
      </w:r>
    </w:p>
    <w:p>
      <w:pPr>
        <w:pStyle w:val="ListBullet"/>
        <w:ind w:left="360" w:hanging="360"/>
      </w:pPr>
      <w:r>
        <w:rPr>
          <w:rFonts w:ascii="Calibri" w:hAnsi="Calibri"/>
          <w:b/>
          <w:color w:val="525866"/>
          <w:sz w:val="22"/>
        </w:rPr>
        <w:t xml:space="preserve">Key event: </w:t>
      </w:r>
      <w:r>
        <w:rPr>
          <w:rFonts w:ascii="Calibri" w:hAnsi="Calibri"/>
          <w:color w:val="525866"/>
          <w:sz w:val="22"/>
        </w:rPr>
        <w:t>May 7, 2026 — Q4 FY2026 earnings beat + $50M restructuring program announced + FY2027 guidance raised to 8–10% revenue growth. Stock gapped up ~12% the following day.</w:t>
      </w:r>
    </w:p>
    <w:p>
      <w:pPr>
        <w:pStyle w:val="ListBullet"/>
        <w:ind w:left="360" w:hanging="360"/>
      </w:pPr>
      <w:r>
        <w:rPr>
          <w:rFonts w:ascii="Calibri" w:hAnsi="Calibri"/>
          <w:b/>
          <w:color w:val="525866"/>
          <w:sz w:val="22"/>
        </w:rPr>
        <w:t xml:space="preserve">Key event: </w:t>
      </w:r>
      <w:r>
        <w:rPr>
          <w:rFonts w:ascii="Calibri" w:hAnsi="Calibri"/>
          <w:color w:val="525866"/>
          <w:sz w:val="22"/>
        </w:rPr>
        <w:t>July 14, 2026 — GEN announced Q1 FY2027 earnings date (August 6, 2026). Stock was trading near $26.57 at that point.</w:t>
      </w:r>
    </w:p>
    <w:p>
      <w:pPr>
        <w:pStyle w:val="ListBullet"/>
        <w:ind w:left="360" w:hanging="360"/>
      </w:pPr>
      <w:r>
        <w:rPr>
          <w:rFonts w:ascii="Calibri" w:hAnsi="Calibri"/>
          <w:b/>
          <w:color w:val="525866"/>
          <w:sz w:val="22"/>
        </w:rPr>
        <w:t>Sector ETF used: BUG (Global X Cybersecurity ETF)</w:t>
      </w:r>
      <w:r>
        <w:rPr>
          <w:rFonts w:ascii="Calibri" w:hAnsi="Calibri"/>
          <w:color w:val="525866"/>
          <w:sz w:val="22"/>
        </w:rPr>
        <w:t xml:space="preserve"> — appropriate for GEN's consumer cybersecurity and identity protection sub-sector.</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May 7 earnings call is the </w:t>
      </w:r>
      <w:r>
        <w:rPr>
          <w:rFonts w:ascii="Calibri" w:hAnsi="Calibri"/>
          <w:b/>
          <w:color w:val="525866"/>
          <w:sz w:val="22"/>
        </w:rPr>
        <w:t>$50M AI-driven restructuring program</w:t>
      </w:r>
      <w:r>
        <w:rPr>
          <w:rFonts w:ascii="Calibri" w:hAnsi="Calibri"/>
          <w:color w:val="525866"/>
          <w:sz w:val="22"/>
        </w:rPr>
        <w:t xml:space="preserve"> approved by the Board, which signals management is actively reinvesting efficiency gains into strategic priorities — a positive for long-term margin durability but a near-term cost headwind to watch in Q1 FY2027 results.</w:t>
      </w:r>
    </w:p>
    <w:p>
      <w:pPr>
        <w:pStyle w:val="ListBullet"/>
        <w:ind w:left="360" w:hanging="360"/>
      </w:pPr>
      <w:r>
        <w:rPr>
          <w:rFonts w:ascii="Calibri" w:hAnsi="Calibri"/>
          <w:b/>
          <w:color w:val="525866"/>
          <w:sz w:val="22"/>
        </w:rPr>
        <w:t>May 7, 2026 — $50M Restructuring Program Approved (8-K):</w:t>
      </w:r>
      <w:r>
        <w:rPr>
          <w:rFonts w:ascii="Calibri" w:hAnsi="Calibri"/>
          <w:color w:val="525866"/>
          <w:sz w:val="22"/>
        </w:rPr>
        <w:t xml:space="preserve"> The Board approved a ‘Fiscal 2027 Restructuring Program’ as part of ongoing internal transformation efforts, including increased AI adoption. The company expects to incur ~$50M in charges over the next 12 months. </w:t>
      </w:r>
      <w:r>
        <w:rPr>
          <w:rFonts w:ascii="Calibri" w:hAnsi="Calibri"/>
          <w:b/>
          <w:color w:val="525866"/>
          <w:sz w:val="22"/>
        </w:rPr>
        <w:t>Implication:</w:t>
      </w:r>
      <w:r>
        <w:rPr>
          <w:rFonts w:ascii="Calibri" w:hAnsi="Calibri"/>
          <w:color w:val="525866"/>
          <w:sz w:val="22"/>
        </w:rPr>
        <w:t xml:space="preserve"> Signals management is actively streamlining operations and reallocating resources toward AI-native product development; charges will flow through GAAP results but are excluded from non-GAAP guidance.</w:t>
      </w:r>
    </w:p>
    <w:p>
      <w:pPr>
        <w:pStyle w:val="ListBullet"/>
        <w:ind w:left="360" w:hanging="360"/>
      </w:pPr>
      <w:r>
        <w:rPr>
          <w:rFonts w:ascii="Calibri" w:hAnsi="Calibri"/>
          <w:b/>
          <w:color w:val="525866"/>
          <w:sz w:val="22"/>
        </w:rPr>
        <w:t>May 7, 2026 — FY2027 Guidance Raised to 8–10% Revenue Growth:</w:t>
      </w:r>
      <w:r>
        <w:rPr>
          <w:rFonts w:ascii="Calibri" w:hAnsi="Calibri"/>
          <w:color w:val="525866"/>
          <w:sz w:val="22"/>
        </w:rPr>
        <w:t xml:space="preserve"> Management formally raised the FY2027 revenue growth outlook from a prior mid-single-digit target to 8–10%, and EPS growth to mid-teens (13–17%). This was described as a ‘clear trajectory shift’ driven by revenue synergies and AI-led efficiencies. </w:t>
      </w:r>
      <w:r>
        <w:rPr>
          <w:rFonts w:ascii="Calibri" w:hAnsi="Calibri"/>
          <w:b/>
          <w:color w:val="525866"/>
          <w:sz w:val="22"/>
        </w:rPr>
        <w:t>Implication:</w:t>
      </w:r>
      <w:r>
        <w:rPr>
          <w:rFonts w:ascii="Calibri" w:hAnsi="Calibri"/>
          <w:color w:val="525866"/>
          <w:sz w:val="22"/>
        </w:rPr>
        <w:t xml:space="preserve"> Structural re-rating catalyst; the first time management has explicitly guided above the 2023 Investor Day targets.</w:t>
      </w:r>
    </w:p>
    <w:p>
      <w:pPr>
        <w:pStyle w:val="ListBullet"/>
        <w:ind w:left="360" w:hanging="360"/>
      </w:pPr>
      <w:r>
        <w:rPr>
          <w:rFonts w:ascii="Calibri" w:hAnsi="Calibri"/>
          <w:b/>
          <w:color w:val="525866"/>
          <w:sz w:val="22"/>
        </w:rPr>
        <w:t>May 7, 2026 — xAI Partnership Announced:</w:t>
      </w:r>
      <w:r>
        <w:rPr>
          <w:rFonts w:ascii="Calibri" w:hAnsi="Calibri"/>
          <w:color w:val="525866"/>
          <w:sz w:val="22"/>
        </w:rPr>
        <w:t xml:space="preserve"> Gen announced a partnership with xAI whose models will power new AI-native products, including a </w:t>
      </w:r>
      <w:r>
        <w:rPr>
          <w:rFonts w:ascii="Calibri" w:hAnsi="Calibri"/>
          <w:b/>
          <w:color w:val="525866"/>
          <w:sz w:val="22"/>
        </w:rPr>
        <w:t>digital concierge for Norton subscribers launching in summer 2026</w:t>
      </w:r>
      <w:r>
        <w:rPr>
          <w:rFonts w:ascii="Calibri" w:hAnsi="Calibri"/>
          <w:color w:val="525866"/>
          <w:sz w:val="22"/>
        </w:rPr>
        <w:t xml:space="preserve">. Gen also joined OpenAI’s Trusted Access for Cyber program and will leverage GPT-5.5 advanced defense capabilities. </w:t>
      </w:r>
      <w:r>
        <w:rPr>
          <w:rFonts w:ascii="Calibri" w:hAnsi="Calibri"/>
          <w:b/>
          <w:color w:val="525866"/>
          <w:sz w:val="22"/>
        </w:rPr>
        <w:t>Implication:</w:t>
      </w:r>
      <w:r>
        <w:rPr>
          <w:rFonts w:ascii="Calibri" w:hAnsi="Calibri"/>
          <w:color w:val="525866"/>
          <w:sz w:val="22"/>
        </w:rPr>
        <w:t xml:space="preserve"> Positions GEN as an active co-developer of AI-native consumer products with frontier model providers; the digital concierge launch timing aligns with Q1 FY2027 and could be a positive surprise driver.</w:t>
      </w:r>
    </w:p>
    <w:p>
      <w:pPr>
        <w:pStyle w:val="ListBullet"/>
        <w:ind w:left="360" w:hanging="360"/>
      </w:pPr>
      <w:r>
        <w:rPr>
          <w:rFonts w:ascii="Calibri" w:hAnsi="Calibri"/>
          <w:b/>
          <w:color w:val="525866"/>
          <w:sz w:val="22"/>
        </w:rPr>
        <w:t>May 7, 2026 — Engine Embedded in Microsoft Copilot &amp; MSN AI:</w:t>
      </w:r>
      <w:r>
        <w:rPr>
          <w:rFonts w:ascii="Calibri" w:hAnsi="Calibri"/>
          <w:color w:val="525866"/>
          <w:sz w:val="22"/>
        </w:rPr>
        <w:t xml:space="preserve"> Engine by Gen is now the multi-category financial offer provider within Microsoft Copilot Discovery feeds and MSN AI, live with credit cards and deposits and expanding to mortgages, loans, and insurance. </w:t>
      </w:r>
      <w:r>
        <w:rPr>
          <w:rFonts w:ascii="Calibri" w:hAnsi="Calibri"/>
          <w:b/>
          <w:color w:val="525866"/>
          <w:sz w:val="22"/>
        </w:rPr>
        <w:t>Implication:</w:t>
      </w:r>
      <w:r>
        <w:rPr>
          <w:rFonts w:ascii="Calibri" w:hAnsi="Calibri"/>
          <w:color w:val="525866"/>
          <w:sz w:val="22"/>
        </w:rPr>
        <w:t xml:space="preserve"> Positions Engine as the financial distribution layer inside large language models; a significant distribution expansion that could accelerate partner revenue growth beyond current consensus.</w:t>
      </w:r>
    </w:p>
    <w:p>
      <w:pPr>
        <w:pStyle w:val="ListBullet"/>
        <w:ind w:left="360" w:hanging="360"/>
      </w:pPr>
      <w:r>
        <w:rPr>
          <w:rFonts w:ascii="Calibri" w:hAnsi="Calibri"/>
          <w:b/>
          <w:color w:val="525866"/>
          <w:sz w:val="22"/>
        </w:rPr>
        <w:t>May 7, 2026 — Trellis Acquisition (Insurance Marketplace):</w:t>
      </w:r>
      <w:r>
        <w:rPr>
          <w:rFonts w:ascii="Calibri" w:hAnsi="Calibri"/>
          <w:color w:val="525866"/>
          <w:sz w:val="22"/>
        </w:rPr>
        <w:t xml:space="preserve"> Gen acquired Trellis, adding a fully embedded insurance marketplace technology and expanding Engine into the high-value insurance vertical. </w:t>
      </w:r>
      <w:r>
        <w:rPr>
          <w:rFonts w:ascii="Calibri" w:hAnsi="Calibri"/>
          <w:b/>
          <w:color w:val="525866"/>
          <w:sz w:val="22"/>
        </w:rPr>
        <w:t>Implication:</w:t>
      </w:r>
      <w:r>
        <w:rPr>
          <w:rFonts w:ascii="Calibri" w:hAnsi="Calibri"/>
          <w:color w:val="525866"/>
          <w:sz w:val="22"/>
        </w:rPr>
        <w:t xml:space="preserve"> Expands Engine’s TAM beyond financial services into insurance; incremental revenue contribution expected in FY2027.</w:t>
      </w:r>
    </w:p>
    <w:p>
      <w:pPr>
        <w:pStyle w:val="ListBullet"/>
        <w:ind w:left="360" w:hanging="360"/>
      </w:pPr>
      <w:r>
        <w:rPr>
          <w:rFonts w:ascii="Calibri" w:hAnsi="Calibri"/>
          <w:b/>
          <w:color w:val="525866"/>
          <w:sz w:val="22"/>
        </w:rPr>
        <w:t>May 7, 2026 — Net Leverage at 3x EBITDA (One Year Ahead of Schedule):</w:t>
      </w:r>
      <w:r>
        <w:rPr>
          <w:rFonts w:ascii="Calibri" w:hAnsi="Calibri"/>
          <w:color w:val="525866"/>
          <w:sz w:val="22"/>
        </w:rPr>
        <w:t xml:space="preserve"> Gen exited Q4 FY2026 with net leverage of 3x EBITDA, achieving its target a year ahead of schedule. $2.1B remains under the share repurchase authorization. </w:t>
      </w:r>
      <w:r>
        <w:rPr>
          <w:rFonts w:ascii="Calibri" w:hAnsi="Calibri"/>
          <w:b/>
          <w:color w:val="525866"/>
          <w:sz w:val="22"/>
        </w:rPr>
        <w:t>Implication:</w:t>
      </w:r>
      <w:r>
        <w:rPr>
          <w:rFonts w:ascii="Calibri" w:hAnsi="Calibri"/>
          <w:color w:val="525866"/>
          <w:sz w:val="22"/>
        </w:rPr>
        <w:t xml:space="preserve"> Increased capital allocation flexibility; management guided a balanced approach across buybacks, continued delevering, and tuck-in M&amp;A.</w:t>
      </w:r>
    </w:p>
    <w:p>
      <w:pPr>
        <w:pStyle w:val="ListBullet"/>
        <w:ind w:left="360" w:hanging="360"/>
      </w:pPr>
      <w:r>
        <w:rPr>
          <w:rFonts w:ascii="Calibri" w:hAnsi="Calibri"/>
          <w:b/>
          <w:color w:val="525866"/>
          <w:sz w:val="22"/>
        </w:rPr>
        <w:t>March 27, 2026 — Debt Refinancing (8-K):</w:t>
      </w:r>
      <w:r>
        <w:rPr>
          <w:rFonts w:ascii="Calibri" w:hAnsi="Calibri"/>
          <w:color w:val="525866"/>
          <w:sz w:val="22"/>
        </w:rPr>
        <w:t xml:space="preserve"> Gen extended debt maturities and refinanced credit facilities, reducing near-term refinancing risk. </w:t>
      </w:r>
      <w:r>
        <w:rPr>
          <w:rFonts w:ascii="Calibri" w:hAnsi="Calibri"/>
          <w:b/>
          <w:color w:val="525866"/>
          <w:sz w:val="22"/>
        </w:rPr>
        <w:t>Implication:</w:t>
      </w:r>
      <w:r>
        <w:rPr>
          <w:rFonts w:ascii="Calibri" w:hAnsi="Calibri"/>
          <w:color w:val="525866"/>
          <w:sz w:val="22"/>
        </w:rPr>
        <w:t xml:space="preserve"> Positive for balance sheet health; reduces interest rate risk heading into a period of elevated capital deployment.</w:t>
      </w:r>
    </w:p>
    <w:p>
      <w:pPr>
        <w:pStyle w:val="ListBullet"/>
        <w:ind w:left="360" w:hanging="360"/>
      </w:pPr>
      <w:r>
        <w:rPr>
          <w:rFonts w:ascii="Calibri" w:hAnsi="Calibri"/>
          <w:b/>
          <w:color w:val="525866"/>
          <w:sz w:val="22"/>
        </w:rPr>
        <w:t>July 14, 2026 — Q1 FY2027 Earnings Date Confirmed:</w:t>
      </w:r>
      <w:r>
        <w:rPr>
          <w:rFonts w:ascii="Calibri" w:hAnsi="Calibri"/>
          <w:color w:val="525866"/>
          <w:sz w:val="22"/>
        </w:rPr>
        <w:t xml:space="preserve"> Gen announced Q1 FY2027 results will be reported on August 6, 2026 after market close. No pre-announcement or guidance update was included. </w:t>
      </w:r>
      <w:r>
        <w:rPr>
          <w:rFonts w:ascii="Calibri" w:hAnsi="Calibri"/>
          <w:b/>
          <w:color w:val="525866"/>
          <w:sz w:val="22"/>
        </w:rPr>
        <w:t>Implication:</w:t>
      </w:r>
      <w:r>
        <w:rPr>
          <w:rFonts w:ascii="Calibri" w:hAnsi="Calibri"/>
          <w:color w:val="525866"/>
          <w:sz w:val="22"/>
        </w:rPr>
        <w:t xml:space="preserve"> Absence of a pre-announcement is a mild positive signal — no negative surprise to flag ahead of the print.</w:t>
      </w:r>
    </w:p>
    <w:p>
      <w:r>
        <w:br w:type="page"/>
      </w:r>
    </w:p>
    <w:p>
      <w:pPr>
        <w:pStyle w:val="Heading2"/>
      </w:pPr>
      <w:r>
        <w:rPr>
          <w:rFonts w:ascii="Calibri" w:hAnsi="Calibri"/>
          <w:b/>
          <w:color w:val="3B4259"/>
          <w:sz w:val="28"/>
        </w:rPr>
        <w:t>7. Peer Commentaries — Read-Through for Q1 FY2027 (Last 60 Days)</w:t>
      </w:r>
    </w:p>
    <w:p>
      <w:r>
        <w:rPr>
          <w:rFonts w:ascii="Calibri" w:hAnsi="Calibri"/>
          <w:b/>
          <w:color w:val="525866"/>
          <w:sz w:val="22"/>
        </w:rPr>
        <w:t xml:space="preserve">Key Takeaway: </w:t>
      </w:r>
      <w:r>
        <w:rPr>
          <w:rFonts w:ascii="Calibri" w:hAnsi="Calibri"/>
          <w:color w:val="525866"/>
          <w:sz w:val="22"/>
        </w:rPr>
        <w:t xml:space="preserve">Enterprise cybersecurity peers (CRWD, PANW, FTNT, CHKP) are all reporting an </w:t>
      </w:r>
      <w:r>
        <w:rPr>
          <w:rFonts w:ascii="Calibri" w:hAnsi="Calibri"/>
          <w:b/>
          <w:color w:val="525866"/>
          <w:sz w:val="22"/>
        </w:rPr>
        <w:t>AI-driven demand acceleration</w:t>
      </w:r>
      <w:r>
        <w:rPr>
          <w:rFonts w:ascii="Calibri" w:hAnsi="Calibri"/>
          <w:color w:val="525866"/>
          <w:sz w:val="22"/>
        </w:rPr>
        <w:t xml:space="preserve"> that is structurally positive for the cybersecurity category — a read-through tailwind for GEN’s cyber safety segment. The ‘Mythos’ inflection point cited by CrowdStrike and Palo Alto is driving elevated security spending that benefits the broader sector, though GEN’s consumer-focused model means the direct read-through is more thematic than operational.</w:t>
      </w:r>
    </w:p>
    <w:p>
      <w:r>
        <w:rPr>
          <w:rFonts w:ascii="Calibri" w:hAnsi="Calibri"/>
          <w:b/>
          <w:color w:val="525866"/>
          <w:sz w:val="22"/>
        </w:rPr>
        <w:t xml:space="preserve">Note: </w:t>
      </w:r>
      <w:r>
        <w:rPr>
          <w:rFonts w:ascii="Calibri" w:hAnsi="Calibri"/>
          <w:i/>
          <w:color w:val="525866"/>
          <w:sz w:val="22"/>
        </w:rPr>
        <w:t>All peer commentary below is from earnings calls or investor events that occurred after GEN’s last earnings (May 7, 2026) and relates to the current reporting environment (calendar Q2 2026 / GEN’s Q1 FY2027 period). Commentary about prior-period results is excluded; only forward-looking commentary and current-quarter demand observations are included.</w:t>
      </w:r>
    </w:p>
    <w:p>
      <w:pPr>
        <w:pStyle w:val="Heading3"/>
      </w:pPr>
      <w:r>
        <w:rPr>
          <w:rFonts w:ascii="Calibri" w:hAnsi="Calibri"/>
          <w:b/>
          <w:color w:val="3B4259"/>
          <w:sz w:val="24"/>
        </w:rPr>
        <w:t>CrowdStrike (CRWD) — Q1 FY2027 Earnings Call (June 3, 2026)</w:t>
      </w:r>
    </w:p>
    <w:p>
      <w:r>
        <w:rPr>
          <w:rFonts w:ascii="Calibri" w:hAnsi="Calibri"/>
          <w:b/>
          <w:color w:val="525866"/>
          <w:sz w:val="22"/>
        </w:rPr>
        <w:t xml:space="preserve">Read-Through Relevance: </w:t>
      </w:r>
      <w:r>
        <w:rPr>
          <w:rFonts w:ascii="Calibri" w:hAnsi="Calibri"/>
          <w:color w:val="525866"/>
          <w:sz w:val="22"/>
        </w:rPr>
        <w:t>HIGH — CRWD’s commentary on AI-driven demand acceleration, identity protection growth, and the ‘Mythos’ inflection point is directly relevant to GEN’s cyber safety and identity protection segments.</w:t>
      </w:r>
    </w:p>
    <w:p>
      <w:pPr>
        <w:pStyle w:val="ListBullet"/>
        <w:ind w:left="360" w:hanging="360"/>
      </w:pPr>
      <w:r>
        <w:rPr>
          <w:rFonts w:ascii="Calibri" w:hAnsi="Calibri"/>
          <w:b/>
          <w:color w:val="525866"/>
          <w:sz w:val="22"/>
        </w:rPr>
        <w:t>AI-Driven Demand Surge (‘Mythos Inflection’):</w:t>
      </w:r>
      <w:r>
        <w:rPr>
          <w:rFonts w:ascii="Calibri" w:hAnsi="Calibri"/>
          <w:color w:val="525866"/>
          <w:sz w:val="22"/>
        </w:rPr>
        <w:t xml:space="preserve"> CEO George Kurtz described an unprecedented demand inflection: “Cybersecurity has dramatically risen in organizational visibility and funding priority” and “CrowdStrike is now being understood as critical AI infrastructure.” He stated: “What I see is AI driving structural demand for cybersecurity that compounds, not decelerates.” </w:t>
      </w:r>
      <w:r>
        <w:rPr>
          <w:rFonts w:ascii="Calibri" w:hAnsi="Calibri"/>
          <w:b/>
          <w:color w:val="525866"/>
          <w:sz w:val="22"/>
        </w:rPr>
        <w:t>GEN Read-Through:</w:t>
      </w:r>
      <w:r>
        <w:rPr>
          <w:rFonts w:ascii="Calibri" w:hAnsi="Calibri"/>
          <w:color w:val="525866"/>
          <w:sz w:val="22"/>
        </w:rPr>
        <w:t xml:space="preserve"> The AI threat landscape expansion (AI-enabled scams, deepfakes, agentic attacks) that is driving enterprise security spending is the same dynamic GEN is monetizing on the consumer side through Genie scam detection, Norton Deepfake Detection, and the Trust Hub. Elevated consumer awareness of AI threats is a tailwind for GEN’s subscription retention and upsell.</w:t>
      </w:r>
    </w:p>
    <w:p>
      <w:pPr>
        <w:pStyle w:val="ListBullet"/>
        <w:ind w:left="360" w:hanging="360"/>
      </w:pPr>
      <w:r>
        <w:rPr>
          <w:rFonts w:ascii="Calibri" w:hAnsi="Calibri"/>
          <w:b/>
          <w:color w:val="525866"/>
          <w:sz w:val="22"/>
        </w:rPr>
        <w:t>Identity Protection Acceleration:</w:t>
      </w:r>
      <w:r>
        <w:rPr>
          <w:rFonts w:ascii="Calibri" w:hAnsi="Calibri"/>
          <w:color w:val="525866"/>
          <w:sz w:val="22"/>
        </w:rPr>
        <w:t xml:space="preserve"> “In the AI era, every agent needs an identity, every identity needs governance.” Next-gen identity net new ARR growth accelerated vs. Q4. Falcon Shield ARR grew nearly 4x YoY. </w:t>
      </w:r>
      <w:r>
        <w:rPr>
          <w:rFonts w:ascii="Calibri" w:hAnsi="Calibri"/>
          <w:b/>
          <w:color w:val="525866"/>
          <w:sz w:val="22"/>
        </w:rPr>
        <w:t>GEN Read-Through:</w:t>
      </w:r>
      <w:r>
        <w:rPr>
          <w:rFonts w:ascii="Calibri" w:hAnsi="Calibri"/>
          <w:color w:val="525866"/>
          <w:sz w:val="22"/>
        </w:rPr>
        <w:t xml:space="preserve"> Validates the identity protection category as a high-growth area. GEN’s LifeLock identity protection business and connected financial accounts (107M, up 36% YoY) are positioned to benefit from the same consumer awareness of identity risk that is driving enterprise identity security spending.</w:t>
      </w:r>
    </w:p>
    <w:p>
      <w:pPr>
        <w:pStyle w:val="ListBullet"/>
        <w:ind w:left="360" w:hanging="360"/>
      </w:pPr>
      <w:r>
        <w:rPr>
          <w:rFonts w:ascii="Calibri" w:hAnsi="Calibri"/>
          <w:b/>
          <w:color w:val="525866"/>
          <w:sz w:val="22"/>
        </w:rPr>
        <w:t>Subscription Model Strength:</w:t>
      </w:r>
      <w:r>
        <w:rPr>
          <w:rFonts w:ascii="Calibri" w:hAnsi="Calibri"/>
          <w:color w:val="525866"/>
          <w:sz w:val="22"/>
        </w:rPr>
        <w:t xml:space="preserve"> Falcon Flex ARR approaching $2B, growing 99% YoY. “Customers are coming back multiple times and they’re continuously spending more, consolidating on CrowdStrike.” Strong gross and net retention rates cited as a key confidence driver. </w:t>
      </w:r>
      <w:r>
        <w:rPr>
          <w:rFonts w:ascii="Calibri" w:hAnsi="Calibri"/>
          <w:b/>
          <w:color w:val="525866"/>
          <w:sz w:val="22"/>
        </w:rPr>
        <w:t>GEN Read-Through:</w:t>
      </w:r>
      <w:r>
        <w:rPr>
          <w:rFonts w:ascii="Calibri" w:hAnsi="Calibri"/>
          <w:color w:val="525866"/>
          <w:sz w:val="22"/>
        </w:rPr>
        <w:t xml:space="preserve"> Positive read-through for GEN’s direct customer retention rate (78.7% in Q4 FY2026) and ARPU expansion thesis. The subscription consolidation trend in enterprise mirrors GEN’s all-in-one membership strategy on the consumer side.</w:t>
      </w:r>
    </w:p>
    <w:p>
      <w:pPr>
        <w:pStyle w:val="ListBullet"/>
        <w:ind w:left="360" w:hanging="360"/>
      </w:pPr>
      <w:r>
        <w:rPr>
          <w:rFonts w:ascii="Calibri" w:hAnsi="Calibri"/>
          <w:b/>
          <w:color w:val="525866"/>
          <w:sz w:val="22"/>
        </w:rPr>
        <w:t>Q2 FY2027 Guidance (CRWD):</w:t>
      </w:r>
      <w:r>
        <w:rPr>
          <w:rFonts w:ascii="Calibri" w:hAnsi="Calibri"/>
          <w:color w:val="525866"/>
          <w:sz w:val="22"/>
        </w:rPr>
        <w:t xml:space="preserve"> Revenue guided to $1.436–$1.442B (+23% YoY); full-year FY2027 net new ARR growth raised by 520 bps. “Record Q2 pipeline.” </w:t>
      </w:r>
      <w:r>
        <w:rPr>
          <w:rFonts w:ascii="Calibri" w:hAnsi="Calibri"/>
          <w:b/>
          <w:color w:val="525866"/>
          <w:sz w:val="22"/>
        </w:rPr>
        <w:t>GEN Read-Through:</w:t>
      </w:r>
      <w:r>
        <w:rPr>
          <w:rFonts w:ascii="Calibri" w:hAnsi="Calibri"/>
          <w:color w:val="525866"/>
          <w:sz w:val="22"/>
        </w:rPr>
        <w:t xml:space="preserve"> CRWD’s raised full-year guidance and record pipeline signal durable cybersecurity demand through GEN’s Q1 FY2027 reporting period.</w:t>
      </w:r>
    </w:p>
    <w:p>
      <w:pPr>
        <w:pStyle w:val="Heading3"/>
      </w:pPr>
      <w:r>
        <w:rPr>
          <w:rFonts w:ascii="Calibri" w:hAnsi="Calibri"/>
          <w:b/>
          <w:color w:val="3B4259"/>
          <w:sz w:val="24"/>
        </w:rPr>
        <w:t>Palo Alto Networks (PANW) — Q3 FY2026 Earnings Call (June 2, 2026)</w:t>
      </w:r>
    </w:p>
    <w:p>
      <w:r>
        <w:rPr>
          <w:rFonts w:ascii="Calibri" w:hAnsi="Calibri"/>
          <w:b/>
          <w:color w:val="525866"/>
          <w:sz w:val="22"/>
        </w:rPr>
        <w:t xml:space="preserve">Read-Through Relevance: </w:t>
      </w:r>
      <w:r>
        <w:rPr>
          <w:rFonts w:ascii="Calibri" w:hAnsi="Calibri"/>
          <w:color w:val="525866"/>
          <w:sz w:val="22"/>
        </w:rPr>
        <w:t>MEDIUM — PANW’s commentary on AI-driven demand, identity security, and subscription trends is thematically relevant to GEN, though PANW is enterprise-focused.</w:t>
      </w:r>
    </w:p>
    <w:p>
      <w:pPr>
        <w:pStyle w:val="ListBullet"/>
        <w:ind w:left="360" w:hanging="360"/>
      </w:pPr>
      <w:r>
        <w:rPr>
          <w:rFonts w:ascii="Calibri" w:hAnsi="Calibri"/>
          <w:b/>
          <w:color w:val="525866"/>
          <w:sz w:val="22"/>
        </w:rPr>
        <w:t>AI as a Watershed Moment for Cybersecurity:</w:t>
      </w:r>
      <w:r>
        <w:rPr>
          <w:rFonts w:ascii="Calibri" w:hAnsi="Calibri"/>
          <w:color w:val="525866"/>
          <w:sz w:val="22"/>
        </w:rPr>
        <w:t xml:space="preserve"> CEO Nikesh Arora stated: “The events of the third quarter represent a watershed moment for cybersecurity and has elevated our category even higher on the CIO priority list.” He added: “Mythos has increased the terminal value of the entire cybersecurity industry.” On demand durability: “Do I see good demand? Yes. Do I believe this demand will continue for longer? Yes.” </w:t>
      </w:r>
      <w:r>
        <w:rPr>
          <w:rFonts w:ascii="Calibri" w:hAnsi="Calibri"/>
          <w:b/>
          <w:color w:val="525866"/>
          <w:sz w:val="22"/>
        </w:rPr>
        <w:t>GEN Read-Through:</w:t>
      </w:r>
      <w:r>
        <w:rPr>
          <w:rFonts w:ascii="Calibri" w:hAnsi="Calibri"/>
          <w:color w:val="525866"/>
          <w:sz w:val="22"/>
        </w:rPr>
        <w:t xml:space="preserve"> Elevated cybersecurity category awareness benefits GEN’s consumer acquisition funnel. When AI threats become front-page news, consumer demand for Norton, Avast, and LifeLock products typically increases.</w:t>
      </w:r>
    </w:p>
    <w:p>
      <w:pPr>
        <w:pStyle w:val="ListBullet"/>
        <w:ind w:left="360" w:hanging="360"/>
      </w:pPr>
      <w:r>
        <w:rPr>
          <w:rFonts w:ascii="Calibri" w:hAnsi="Calibri"/>
          <w:b/>
          <w:color w:val="525866"/>
          <w:sz w:val="22"/>
        </w:rPr>
        <w:t>Identity Security as Primary Defensive Layer:</w:t>
      </w:r>
      <w:r>
        <w:rPr>
          <w:rFonts w:ascii="Calibri" w:hAnsi="Calibri"/>
          <w:color w:val="525866"/>
          <w:sz w:val="22"/>
        </w:rPr>
        <w:t xml:space="preserve"> PANW launched ‘Idira,’ described as the “next-generation identity platform for the AI-driven enterprise.” CyberArk integration surpassed internal benchmarks. “In an environment populated by both human and agents, identity serves as the primary defensive layer.” </w:t>
      </w:r>
      <w:r>
        <w:rPr>
          <w:rFonts w:ascii="Calibri" w:hAnsi="Calibri"/>
          <w:b/>
          <w:color w:val="525866"/>
          <w:sz w:val="22"/>
        </w:rPr>
        <w:t>GEN Read-Through:</w:t>
      </w:r>
      <w:r>
        <w:rPr>
          <w:rFonts w:ascii="Calibri" w:hAnsi="Calibri"/>
          <w:color w:val="525866"/>
          <w:sz w:val="22"/>
        </w:rPr>
        <w:t xml:space="preserve"> Validates GEN’s strategic positioning of LifeLock and identity protection as the consumer analog to enterprise identity security. The convergence of cyber safety and financial wellness (connected accounts, financial scan) is the consumer version of the identity-as-primary-defense thesis.</w:t>
      </w:r>
    </w:p>
    <w:p>
      <w:pPr>
        <w:pStyle w:val="ListBullet"/>
        <w:ind w:left="360" w:hanging="360"/>
      </w:pPr>
      <w:r>
        <w:rPr>
          <w:rFonts w:ascii="Calibri" w:hAnsi="Calibri"/>
          <w:b/>
          <w:color w:val="525866"/>
          <w:sz w:val="22"/>
        </w:rPr>
        <w:t>Platformization Driving 120% Net Retention:</w:t>
      </w:r>
      <w:r>
        <w:rPr>
          <w:rFonts w:ascii="Calibri" w:hAnsi="Calibri"/>
          <w:color w:val="525866"/>
          <w:sz w:val="22"/>
        </w:rPr>
        <w:t xml:space="preserve"> Platformized customers show “120% net retention and single-digit churn rates.” </w:t>
      </w:r>
      <w:r>
        <w:rPr>
          <w:rFonts w:ascii="Calibri" w:hAnsi="Calibri"/>
          <w:b/>
          <w:color w:val="525866"/>
          <w:sz w:val="22"/>
        </w:rPr>
        <w:t>GEN Read-Through:</w:t>
      </w:r>
      <w:r>
        <w:rPr>
          <w:rFonts w:ascii="Calibri" w:hAnsi="Calibri"/>
          <w:color w:val="525866"/>
          <w:sz w:val="22"/>
        </w:rPr>
        <w:t xml:space="preserve"> Supports GEN’s all-in-one membership strategy. As GEN moves customers from single products to full memberships (approaching 60% adoption), retention and ARPU should improve — consistent with PANW’s platformization experience.</w:t>
      </w:r>
    </w:p>
    <w:p>
      <w:pPr>
        <w:pStyle w:val="ListBullet"/>
        <w:ind w:left="360" w:hanging="360"/>
      </w:pPr>
      <w:r>
        <w:rPr>
          <w:rFonts w:ascii="Calibri" w:hAnsi="Calibri"/>
          <w:b/>
          <w:color w:val="525866"/>
          <w:sz w:val="22"/>
        </w:rPr>
        <w:t>Q4 FY2026 Guidance (PANW):</w:t>
      </w:r>
      <w:r>
        <w:rPr>
          <w:rFonts w:ascii="Calibri" w:hAnsi="Calibri"/>
          <w:color w:val="525866"/>
          <w:sz w:val="22"/>
        </w:rPr>
        <w:t xml:space="preserve"> Revenue guided to $3.345–$3.355B (+32% YoY); full-year FY2026 guidance raised across all metrics. </w:t>
      </w:r>
      <w:r>
        <w:rPr>
          <w:rFonts w:ascii="Calibri" w:hAnsi="Calibri"/>
          <w:b/>
          <w:color w:val="525866"/>
          <w:sz w:val="22"/>
        </w:rPr>
        <w:t>GEN Read-Through:</w:t>
      </w:r>
      <w:r>
        <w:rPr>
          <w:rFonts w:ascii="Calibri" w:hAnsi="Calibri"/>
          <w:color w:val="525866"/>
          <w:sz w:val="22"/>
        </w:rPr>
        <w:t xml:space="preserve"> Broad-based demand acceleration across geographies and customer segments is a positive read-through for GEN’s international cyber safety revenue.</w:t>
      </w:r>
    </w:p>
    <w:p>
      <w:pPr>
        <w:pStyle w:val="Heading3"/>
      </w:pPr>
      <w:r>
        <w:rPr>
          <w:rFonts w:ascii="Calibri" w:hAnsi="Calibri"/>
          <w:b/>
          <w:color w:val="3B4259"/>
          <w:sz w:val="24"/>
        </w:rPr>
        <w:t>Fortinet (FTNT) — Q2 FY2026 Earnings Call (July 29, 2026)</w:t>
      </w:r>
    </w:p>
    <w:p>
      <w:r>
        <w:rPr>
          <w:rFonts w:ascii="Calibri" w:hAnsi="Calibri"/>
          <w:b/>
          <w:color w:val="525866"/>
          <w:sz w:val="22"/>
        </w:rPr>
        <w:t xml:space="preserve">Read-Through Relevance: </w:t>
      </w:r>
      <w:r>
        <w:rPr>
          <w:rFonts w:ascii="Calibri" w:hAnsi="Calibri"/>
          <w:color w:val="525866"/>
          <w:sz w:val="22"/>
        </w:rPr>
        <w:t>MEDIUM — FTNT’s commentary on AI-driven demand, subscription trends, and pricing is relevant to GEN’s cyber safety segment, though FTNT is primarily a network security vendor.</w:t>
      </w:r>
    </w:p>
    <w:p>
      <w:pPr>
        <w:pStyle w:val="ListBullet"/>
        <w:ind w:left="360" w:hanging="360"/>
      </w:pPr>
      <w:r>
        <w:rPr>
          <w:rFonts w:ascii="Calibri" w:hAnsi="Calibri"/>
          <w:b/>
          <w:color w:val="525866"/>
          <w:sz w:val="22"/>
        </w:rPr>
        <w:t>Broad-Based Demand Acceleration:</w:t>
      </w:r>
      <w:r>
        <w:rPr>
          <w:rFonts w:ascii="Calibri" w:hAnsi="Calibri"/>
          <w:color w:val="525866"/>
          <w:sz w:val="22"/>
        </w:rPr>
        <w:t xml:space="preserve"> CEO Ken Xie reported billings grew 33% and total revenue increased 26%, with “exceptional billings growth” across all three pillars. Free cash flow more than tripled YoY to nearly $1B. Management raised full-year guidance across all top-line metrics. </w:t>
      </w:r>
      <w:r>
        <w:rPr>
          <w:rFonts w:ascii="Calibri" w:hAnsi="Calibri"/>
          <w:b/>
          <w:color w:val="525866"/>
          <w:sz w:val="22"/>
        </w:rPr>
        <w:t>GEN Read-Through:</w:t>
      </w:r>
      <w:r>
        <w:rPr>
          <w:rFonts w:ascii="Calibri" w:hAnsi="Calibri"/>
          <w:color w:val="525866"/>
          <w:sz w:val="22"/>
        </w:rPr>
        <w:t xml:space="preserve"> FTNT’s broad-based demand acceleration through the end of July 2026 (the most recent data point before GEN’s August 6 print) confirms that cybersecurity demand remained robust through GEN’s Q1 FY2027 reporting period.</w:t>
      </w:r>
    </w:p>
    <w:p>
      <w:pPr>
        <w:pStyle w:val="ListBullet"/>
        <w:ind w:left="360" w:hanging="360"/>
      </w:pPr>
      <w:r>
        <w:rPr>
          <w:rFonts w:ascii="Calibri" w:hAnsi="Calibri"/>
          <w:b/>
          <w:color w:val="525866"/>
          <w:sz w:val="22"/>
        </w:rPr>
        <w:t>AI Reshaping Security Landscape:</w:t>
      </w:r>
      <w:r>
        <w:rPr>
          <w:rFonts w:ascii="Calibri" w:hAnsi="Calibri"/>
          <w:color w:val="525866"/>
          <w:sz w:val="22"/>
        </w:rPr>
        <w:t xml:space="preserve"> “AI is becoming a dominant driver of security infrastructure modernization as organizations move from AI experimentation and early adoption toward broader deployment.” Machine-to-machine traffic has surpassed human-to-human traffic on the internet for the first time, driving demand for better visibility and control. </w:t>
      </w:r>
      <w:r>
        <w:rPr>
          <w:rFonts w:ascii="Calibri" w:hAnsi="Calibri"/>
          <w:b/>
          <w:color w:val="525866"/>
          <w:sz w:val="22"/>
        </w:rPr>
        <w:t>GEN Read-Through:</w:t>
      </w:r>
      <w:r>
        <w:rPr>
          <w:rFonts w:ascii="Calibri" w:hAnsi="Calibri"/>
          <w:color w:val="525866"/>
          <w:sz w:val="22"/>
        </w:rPr>
        <w:t xml:space="preserve"> The AI agent proliferation that is driving enterprise network security demand is the same dynamic GEN is addressing with its Trust Hub, Norton Neo browser, and AI agent security products. Consumer awareness of AI-driven threats is a tailwind for GEN’s premium subscription tiers.</w:t>
      </w:r>
    </w:p>
    <w:p>
      <w:pPr>
        <w:pStyle w:val="ListBullet"/>
        <w:ind w:left="360" w:hanging="360"/>
      </w:pPr>
      <w:r>
        <w:rPr>
          <w:rFonts w:ascii="Calibri" w:hAnsi="Calibri"/>
          <w:b/>
          <w:color w:val="525866"/>
          <w:sz w:val="22"/>
        </w:rPr>
        <w:t>Service Revenue Trough Behind Them:</w:t>
      </w:r>
      <w:r>
        <w:rPr>
          <w:rFonts w:ascii="Calibri" w:hAnsi="Calibri"/>
          <w:color w:val="525866"/>
          <w:sz w:val="22"/>
        </w:rPr>
        <w:t xml:space="preserve"> “We believe the first quarter of 2026 marked a trough for our service revenue growth rate, and we anticipate a positive trajectory in our growth rates going forward.” Service revenue grew 14% in Q2, improving from Q1. </w:t>
      </w:r>
      <w:r>
        <w:rPr>
          <w:rFonts w:ascii="Calibri" w:hAnsi="Calibri"/>
          <w:b/>
          <w:color w:val="525866"/>
          <w:sz w:val="22"/>
        </w:rPr>
        <w:t>GEN Read-Through:</w:t>
      </w:r>
      <w:r>
        <w:rPr>
          <w:rFonts w:ascii="Calibri" w:hAnsi="Calibri"/>
          <w:color w:val="525866"/>
          <w:sz w:val="22"/>
        </w:rPr>
        <w:t xml:space="preserve"> Subscription/service revenue acceleration at FTNT is a positive read-through for GEN’s direct customer revenue and retention trends.</w:t>
      </w:r>
    </w:p>
    <w:p>
      <w:pPr>
        <w:pStyle w:val="ListBullet"/>
        <w:ind w:left="360" w:hanging="360"/>
      </w:pPr>
      <w:r>
        <w:rPr>
          <w:rFonts w:ascii="Calibri" w:hAnsi="Calibri"/>
          <w:b/>
          <w:color w:val="525866"/>
          <w:sz w:val="22"/>
        </w:rPr>
        <w:t>Q3 FY2026 Guidance (FTNT):</w:t>
      </w:r>
      <w:r>
        <w:rPr>
          <w:rFonts w:ascii="Calibri" w:hAnsi="Calibri"/>
          <w:color w:val="525866"/>
          <w:sz w:val="22"/>
        </w:rPr>
        <w:t xml:space="preserve"> Revenue guided to $2.1B (+19% YoY); full-year revenue raised to $8.02–$8.18B (+19% YoY). Non-GAAP operating margin guided to 35–37%. </w:t>
      </w:r>
      <w:r>
        <w:rPr>
          <w:rFonts w:ascii="Calibri" w:hAnsi="Calibri"/>
          <w:b/>
          <w:color w:val="525866"/>
          <w:sz w:val="22"/>
        </w:rPr>
        <w:t>GEN Read-Through:</w:t>
      </w:r>
      <w:r>
        <w:rPr>
          <w:rFonts w:ascii="Calibri" w:hAnsi="Calibri"/>
          <w:color w:val="525866"/>
          <w:sz w:val="22"/>
        </w:rPr>
        <w:t xml:space="preserve"> FTNT’s confidence in durable growth through the second half of 2026 is a positive sector read-through for GEN’s Q1 FY2027 demand environment.</w:t>
      </w:r>
    </w:p>
    <w:p>
      <w:pPr>
        <w:pStyle w:val="Heading3"/>
      </w:pPr>
      <w:r>
        <w:rPr>
          <w:rFonts w:ascii="Calibri" w:hAnsi="Calibri"/>
          <w:b/>
          <w:color w:val="3B4259"/>
          <w:sz w:val="24"/>
        </w:rPr>
        <w:t>Check Point Software (CHKP) — Q2 FY2026 Earnings Call (July 30, 2026)</w:t>
      </w:r>
    </w:p>
    <w:p>
      <w:r>
        <w:rPr>
          <w:rFonts w:ascii="Calibri" w:hAnsi="Calibri"/>
          <w:b/>
          <w:color w:val="525866"/>
          <w:sz w:val="22"/>
        </w:rPr>
        <w:t xml:space="preserve">Read-Through Relevance: </w:t>
      </w:r>
      <w:r>
        <w:rPr>
          <w:rFonts w:ascii="Calibri" w:hAnsi="Calibri"/>
          <w:color w:val="525866"/>
          <w:sz w:val="22"/>
        </w:rPr>
        <w:t>LOW-MEDIUM — CHKP’s commentary is more cautionary, with product revenue declining 14% and Q3 expected to be a trough. However, subscription trends and AI demand commentary are relevant.</w:t>
      </w:r>
    </w:p>
    <w:p>
      <w:pPr>
        <w:pStyle w:val="ListBullet"/>
        <w:ind w:left="360" w:hanging="360"/>
      </w:pPr>
      <w:r>
        <w:rPr>
          <w:rFonts w:ascii="Calibri" w:hAnsi="Calibri"/>
          <w:b/>
          <w:color w:val="525866"/>
          <w:sz w:val="22"/>
        </w:rPr>
        <w:t>AI Driving Collapse in Adversarial Capabilities:</w:t>
      </w:r>
      <w:r>
        <w:rPr>
          <w:rFonts w:ascii="Calibri" w:hAnsi="Calibri"/>
          <w:color w:val="525866"/>
          <w:sz w:val="22"/>
        </w:rPr>
        <w:t xml:space="preserve"> CEO Gil Shwed stated: “AI, and particularly the latest frontier model, is driving a collapse in scarcity of adversarial capabilities. This is democratizing and industrializing sophisticated cyber attacks.” CHKP launched the “industry’s first AI network firewall.” Demand for AI capabilities is growing “very, very fast.” </w:t>
      </w:r>
      <w:r>
        <w:rPr>
          <w:rFonts w:ascii="Calibri" w:hAnsi="Calibri"/>
          <w:b/>
          <w:color w:val="525866"/>
          <w:sz w:val="22"/>
        </w:rPr>
        <w:t>GEN Read-Through:</w:t>
      </w:r>
      <w:r>
        <w:rPr>
          <w:rFonts w:ascii="Calibri" w:hAnsi="Calibri"/>
          <w:color w:val="525866"/>
          <w:sz w:val="22"/>
        </w:rPr>
        <w:t xml:space="preserve"> The democratization of sophisticated cyber attacks is the core demand driver for GEN’s consumer cyber safety products. As AI lowers the barrier to sophisticated attacks, consumer demand for protection (Norton, Avast, Genie scam detection) should increase.</w:t>
      </w:r>
    </w:p>
    <w:p>
      <w:pPr>
        <w:pStyle w:val="ListBullet"/>
        <w:ind w:left="360" w:hanging="360"/>
      </w:pPr>
      <w:r>
        <w:rPr>
          <w:rFonts w:ascii="Calibri" w:hAnsi="Calibri"/>
          <w:b/>
          <w:color w:val="525866"/>
          <w:sz w:val="22"/>
        </w:rPr>
        <w:t>Subscription Revenue Growing 12% YoY:</w:t>
      </w:r>
      <w:r>
        <w:rPr>
          <w:rFonts w:ascii="Calibri" w:hAnsi="Calibri"/>
          <w:color w:val="525866"/>
          <w:sz w:val="22"/>
        </w:rPr>
        <w:t xml:space="preserve"> Subscription revenue reached $333M, growing 12% YoY. Email security and AI security combined exceeded 40% growth in ARR YoY. Continuous Threat Exposure Management growing at “almost 100%.” </w:t>
      </w:r>
      <w:r>
        <w:rPr>
          <w:rFonts w:ascii="Calibri" w:hAnsi="Calibri"/>
          <w:b/>
          <w:color w:val="525866"/>
          <w:sz w:val="22"/>
        </w:rPr>
        <w:t>GEN Read-Through:</w:t>
      </w:r>
      <w:r>
        <w:rPr>
          <w:rFonts w:ascii="Calibri" w:hAnsi="Calibri"/>
          <w:color w:val="525866"/>
          <w:sz w:val="22"/>
        </w:rPr>
        <w:t xml:space="preserve"> Subscription growth acceleration in enterprise security validates the recurring revenue model. GEN’s direct customer subscription base (42M customers) benefits from the same structural shift toward subscription-based security.</w:t>
      </w:r>
    </w:p>
    <w:p>
      <w:pPr>
        <w:pStyle w:val="ListBullet"/>
        <w:ind w:left="360" w:hanging="360"/>
      </w:pPr>
      <w:r>
        <w:rPr>
          <w:rFonts w:ascii="Calibri" w:hAnsi="Calibri"/>
          <w:b/>
          <w:color w:val="525866"/>
          <w:sz w:val="22"/>
        </w:rPr>
        <w:t>Cautionary Note — Product Revenue Weakness:</w:t>
      </w:r>
      <w:r>
        <w:rPr>
          <w:rFonts w:ascii="Calibri" w:hAnsi="Calibri"/>
          <w:color w:val="525866"/>
          <w:sz w:val="22"/>
        </w:rPr>
        <w:t xml:space="preserve"> Product revenues declined 14% in Q2 due to go-to-market disruption. Q3 expected to be the trough, with Q4 recovery. </w:t>
      </w:r>
      <w:r>
        <w:rPr>
          <w:rFonts w:ascii="Calibri" w:hAnsi="Calibri"/>
          <w:b/>
          <w:color w:val="525866"/>
          <w:sz w:val="22"/>
        </w:rPr>
        <w:t>GEN Read-Through:</w:t>
      </w:r>
      <w:r>
        <w:rPr>
          <w:rFonts w:ascii="Calibri" w:hAnsi="Calibri"/>
          <w:color w:val="525866"/>
          <w:sz w:val="22"/>
        </w:rPr>
        <w:t xml:space="preserve"> Limited direct read-through for GEN (no hardware exposure), but CHKP’s go-to-market disruption is company-specific and not a sector-wide signal.</w:t>
      </w:r>
    </w:p>
    <w:p>
      <w:pPr>
        <w:pStyle w:val="ListBullet"/>
        <w:ind w:left="360" w:hanging="360"/>
      </w:pPr>
      <w:r>
        <w:rPr>
          <w:rFonts w:ascii="Calibri" w:hAnsi="Calibri"/>
          <w:b/>
          <w:color w:val="525866"/>
          <w:sz w:val="22"/>
        </w:rPr>
        <w:t>Q3 FY2026 Guidance (CHKP):</w:t>
      </w:r>
      <w:r>
        <w:rPr>
          <w:rFonts w:ascii="Calibri" w:hAnsi="Calibri"/>
          <w:color w:val="525866"/>
          <w:sz w:val="22"/>
        </w:rPr>
        <w:t xml:space="preserve"> Revenue guided to $655–$685M; non-GAAP EPS $2.43–$2.53. Q3 expected to be the trough with stronger Q4. </w:t>
      </w:r>
      <w:r>
        <w:rPr>
          <w:rFonts w:ascii="Calibri" w:hAnsi="Calibri"/>
          <w:b/>
          <w:color w:val="525866"/>
          <w:sz w:val="22"/>
        </w:rPr>
        <w:t>GEN Read-Through:</w:t>
      </w:r>
      <w:r>
        <w:rPr>
          <w:rFonts w:ascii="Calibri" w:hAnsi="Calibri"/>
          <w:color w:val="525866"/>
          <w:sz w:val="22"/>
        </w:rPr>
        <w:t xml:space="preserve"> CHKP’s Q3 trough/Q4 recovery narrative is company-specific; the broader subscription demand environment remains healthy.</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Event Date</w:t>
            </w:r>
          </w:p>
        </w:tc>
        <w:tc>
          <w:tcPr>
            <w:tcW w:type="dxa" w:w="1728"/>
            <w:shd w:val="clear" w:color="auto" w:fill="3B4259"/>
          </w:tcPr>
          <w:p>
            <w:r>
              <w:rPr>
                <w:rFonts w:ascii="Calibri" w:hAnsi="Calibri"/>
                <w:b/>
                <w:color w:val="FFFFFF"/>
                <w:sz w:val="22"/>
              </w:rPr>
              <w:t>Key Theme</w:t>
            </w:r>
          </w:p>
        </w:tc>
        <w:tc>
          <w:tcPr>
            <w:tcW w:type="dxa" w:w="1728"/>
            <w:shd w:val="clear" w:color="auto" w:fill="3B4259"/>
          </w:tcPr>
          <w:p>
            <w:r>
              <w:rPr>
                <w:rFonts w:ascii="Calibri" w:hAnsi="Calibri"/>
                <w:b/>
                <w:color w:val="FFFFFF"/>
                <w:sz w:val="22"/>
              </w:rPr>
              <w:t>GEN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CRWD</w:t>
            </w:r>
          </w:p>
        </w:tc>
        <w:tc>
          <w:tcPr>
            <w:tcW w:type="dxa" w:w="1728"/>
          </w:tcPr>
          <w:p>
            <w:r>
              <w:rPr>
                <w:rFonts w:ascii="Calibri" w:hAnsi="Calibri"/>
                <w:sz w:val="22"/>
              </w:rPr>
              <w:t>June 3, 2026</w:t>
            </w:r>
          </w:p>
        </w:tc>
        <w:tc>
          <w:tcPr>
            <w:tcW w:type="dxa" w:w="1728"/>
          </w:tcPr>
          <w:p>
            <w:r>
              <w:rPr>
                <w:rFonts w:ascii="Calibri" w:hAnsi="Calibri"/>
                <w:sz w:val="22"/>
              </w:rPr>
              <w:t>AI demand surge (‘Mythos’); identity ARR 4x YoY; raised FY guidance +520 bps</w:t>
            </w:r>
          </w:p>
        </w:tc>
        <w:tc>
          <w:tcPr>
            <w:tcW w:type="dxa" w:w="1728"/>
          </w:tcPr>
          <w:p>
            <w:r>
              <w:rPr>
                <w:rFonts w:ascii="Calibri" w:hAnsi="Calibri"/>
                <w:sz w:val="22"/>
              </w:rPr>
              <w:t>Cyber safety &amp; identity demand tailwind; subscription consolidation validates GEN’s platform strategy</w:t>
            </w:r>
          </w:p>
        </w:tc>
        <w:tc>
          <w:tcPr>
            <w:tcW w:type="dxa" w:w="1728"/>
          </w:tcPr>
          <w:p>
            <w:r>
              <w:rPr>
                <w:rFonts w:ascii="Calibri" w:hAnsi="Calibri"/>
                <w:b/>
                <w:color w:val="30A46C"/>
                <w:sz w:val="22"/>
              </w:rPr>
              <w:t>Positive</w:t>
            </w:r>
          </w:p>
        </w:tc>
      </w:tr>
      <w:tr>
        <w:tc>
          <w:tcPr>
            <w:tcW w:type="dxa" w:w="1728"/>
          </w:tcPr>
          <w:p>
            <w:r>
              <w:rPr>
                <w:rFonts w:ascii="Calibri" w:hAnsi="Calibri"/>
                <w:sz w:val="22"/>
              </w:rPr>
              <w:t>PANW</w:t>
            </w:r>
          </w:p>
        </w:tc>
        <w:tc>
          <w:tcPr>
            <w:tcW w:type="dxa" w:w="1728"/>
          </w:tcPr>
          <w:p>
            <w:r>
              <w:rPr>
                <w:rFonts w:ascii="Calibri" w:hAnsi="Calibri"/>
                <w:sz w:val="22"/>
              </w:rPr>
              <w:t>June 2, 2026</w:t>
            </w:r>
          </w:p>
        </w:tc>
        <w:tc>
          <w:tcPr>
            <w:tcW w:type="dxa" w:w="1728"/>
          </w:tcPr>
          <w:p>
            <w:r>
              <w:rPr>
                <w:rFonts w:ascii="Calibri" w:hAnsi="Calibri"/>
                <w:sz w:val="22"/>
              </w:rPr>
              <w:t>‘Watershed moment’ for cybersecurity; identity as primary defensive layer; 120% net retention for platformized customers</w:t>
            </w:r>
          </w:p>
        </w:tc>
        <w:tc>
          <w:tcPr>
            <w:tcW w:type="dxa" w:w="1728"/>
          </w:tcPr>
          <w:p>
            <w:r>
              <w:rPr>
                <w:rFonts w:ascii="Calibri" w:hAnsi="Calibri"/>
                <w:sz w:val="22"/>
              </w:rPr>
              <w:t>Elevated category awareness benefits GEN consumer acquisition; identity protection thesis validated</w:t>
            </w:r>
          </w:p>
        </w:tc>
        <w:tc>
          <w:tcPr>
            <w:tcW w:type="dxa" w:w="1728"/>
          </w:tcPr>
          <w:p>
            <w:r>
              <w:rPr>
                <w:rFonts w:ascii="Calibri" w:hAnsi="Calibri"/>
                <w:b/>
                <w:color w:val="30A46C"/>
                <w:sz w:val="22"/>
              </w:rPr>
              <w:t>Positive</w:t>
            </w:r>
          </w:p>
        </w:tc>
      </w:tr>
      <w:tr>
        <w:tc>
          <w:tcPr>
            <w:tcW w:type="dxa" w:w="1728"/>
          </w:tcPr>
          <w:p>
            <w:r>
              <w:rPr>
                <w:rFonts w:ascii="Calibri" w:hAnsi="Calibri"/>
                <w:sz w:val="22"/>
              </w:rPr>
              <w:t>FTNT</w:t>
            </w:r>
          </w:p>
        </w:tc>
        <w:tc>
          <w:tcPr>
            <w:tcW w:type="dxa" w:w="1728"/>
          </w:tcPr>
          <w:p>
            <w:r>
              <w:rPr>
                <w:rFonts w:ascii="Calibri" w:hAnsi="Calibri"/>
                <w:sz w:val="22"/>
              </w:rPr>
              <w:t>July 29, 2026</w:t>
            </w:r>
          </w:p>
        </w:tc>
        <w:tc>
          <w:tcPr>
            <w:tcW w:type="dxa" w:w="1728"/>
          </w:tcPr>
          <w:p>
            <w:r>
              <w:rPr>
                <w:rFonts w:ascii="Calibri" w:hAnsi="Calibri"/>
                <w:sz w:val="22"/>
              </w:rPr>
              <w:t>Billings +33%, revenue +26%; AI driving security infrastructure modernization; service revenue trough behind them</w:t>
            </w:r>
          </w:p>
        </w:tc>
        <w:tc>
          <w:tcPr>
            <w:tcW w:type="dxa" w:w="1728"/>
          </w:tcPr>
          <w:p>
            <w:r>
              <w:rPr>
                <w:rFonts w:ascii="Calibri" w:hAnsi="Calibri"/>
                <w:sz w:val="22"/>
              </w:rPr>
              <w:t>Broad-based demand through July confirms healthy environment for GEN’s Q1 FY2027 period</w:t>
            </w:r>
          </w:p>
        </w:tc>
        <w:tc>
          <w:tcPr>
            <w:tcW w:type="dxa" w:w="1728"/>
          </w:tcPr>
          <w:p>
            <w:r>
              <w:rPr>
                <w:rFonts w:ascii="Calibri" w:hAnsi="Calibri"/>
                <w:b/>
                <w:color w:val="30A46C"/>
                <w:sz w:val="22"/>
              </w:rPr>
              <w:t>Positive</w:t>
            </w:r>
          </w:p>
        </w:tc>
      </w:tr>
      <w:tr>
        <w:tc>
          <w:tcPr>
            <w:tcW w:type="dxa" w:w="1728"/>
          </w:tcPr>
          <w:p>
            <w:r>
              <w:rPr>
                <w:rFonts w:ascii="Calibri" w:hAnsi="Calibri"/>
                <w:sz w:val="22"/>
              </w:rPr>
              <w:t>CHKP</w:t>
            </w:r>
          </w:p>
        </w:tc>
        <w:tc>
          <w:tcPr>
            <w:tcW w:type="dxa" w:w="1728"/>
          </w:tcPr>
          <w:p>
            <w:r>
              <w:rPr>
                <w:rFonts w:ascii="Calibri" w:hAnsi="Calibri"/>
                <w:sz w:val="22"/>
              </w:rPr>
              <w:t>July 30, 2026</w:t>
            </w:r>
          </w:p>
        </w:tc>
        <w:tc>
          <w:tcPr>
            <w:tcW w:type="dxa" w:w="1728"/>
          </w:tcPr>
          <w:p>
            <w:r>
              <w:rPr>
                <w:rFonts w:ascii="Calibri" w:hAnsi="Calibri"/>
                <w:sz w:val="22"/>
              </w:rPr>
              <w:t>AI democratizing cyber attacks; subscription +12% YoY; product revenue -14% (go-to-market disruption)</w:t>
            </w:r>
          </w:p>
        </w:tc>
        <w:tc>
          <w:tcPr>
            <w:tcW w:type="dxa" w:w="1728"/>
          </w:tcPr>
          <w:p>
            <w:r>
              <w:rPr>
                <w:rFonts w:ascii="Calibri" w:hAnsi="Calibri"/>
                <w:sz w:val="22"/>
              </w:rPr>
              <w:t>AI threat democratization is a consumer demand tailwind; product weakness is company-specific</w:t>
            </w:r>
          </w:p>
        </w:tc>
        <w:tc>
          <w:tcPr>
            <w:tcW w:type="dxa" w:w="1728"/>
          </w:tcPr>
          <w:p>
            <w:r>
              <w:rPr>
                <w:rFonts w:ascii="Calibri" w:hAnsi="Calibri"/>
                <w:b/>
                <w:color w:val="002FA7"/>
                <w:sz w:val="22"/>
              </w:rPr>
              <w:t>Mixed</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only open-market buy since the May 7 earnings print was a small purchase by Director John Chrystal (3,000 shares, ~$80K) — a modest positive signal. The large sale by Director Ondrej Vlcek (100,000 shares, ~$2.5M) is notable in size but appears discretionary; no 10b5-1 plan was flagged. </w:t>
      </w:r>
      <w:r>
        <w:rPr>
          <w:rFonts w:ascii="Calibri" w:hAnsi="Calibri"/>
          <w:b/>
          <w:color w:val="525866"/>
          <w:sz w:val="22"/>
        </w:rPr>
        <w:t>The absence of executive (CEO/CFO/COO) open-market selling is a mild positive.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 (Approx.)</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Vlcek Ondrej</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~$2.5M (100,000 shares)</w:t>
            </w:r>
          </w:p>
        </w:tc>
        <w:tc>
          <w:tcPr>
            <w:tcW w:type="dxa" w:w="1440"/>
          </w:tcPr>
          <w:p>
            <w:r>
              <w:rPr>
                <w:rFonts w:ascii="Calibri" w:hAnsi="Calibri"/>
                <w:sz w:val="22"/>
              </w:rPr>
              <w:t>June 10, 2026</w:t>
            </w:r>
          </w:p>
        </w:tc>
        <w:tc>
          <w:tcPr>
            <w:tcW w:type="dxa" w:w="1440"/>
          </w:tcPr>
          <w:p>
            <w:r>
              <w:rPr>
                <w:rFonts w:ascii="Calibri" w:hAnsi="Calibri"/>
                <w:sz w:val="22"/>
              </w:rPr>
              <w:t>Discretionary sale; no 10b5-1 plan flagged. Largest insider sale in the period.</w:t>
            </w:r>
          </w:p>
        </w:tc>
      </w:tr>
      <w:tr>
        <w:tc>
          <w:tcPr>
            <w:tcW w:type="dxa" w:w="1440"/>
          </w:tcPr>
          <w:p>
            <w:r>
              <w:rPr>
                <w:rFonts w:ascii="Calibri" w:hAnsi="Calibri"/>
                <w:sz w:val="22"/>
              </w:rPr>
              <w:t>Chrystal John C</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~$80K (3,000 shares)</w:t>
            </w:r>
          </w:p>
        </w:tc>
        <w:tc>
          <w:tcPr>
            <w:tcW w:type="dxa" w:w="1440"/>
          </w:tcPr>
          <w:p>
            <w:r>
              <w:rPr>
                <w:rFonts w:ascii="Calibri" w:hAnsi="Calibri"/>
                <w:sz w:val="22"/>
              </w:rPr>
              <w:t>June 4, 2026</w:t>
            </w:r>
          </w:p>
        </w:tc>
        <w:tc>
          <w:tcPr>
            <w:tcW w:type="dxa" w:w="1440"/>
          </w:tcPr>
          <w:p>
            <w:r>
              <w:rPr>
                <w:rFonts w:ascii="Calibri" w:hAnsi="Calibri"/>
                <w:sz w:val="22"/>
              </w:rPr>
              <w:t>Only open-market buy in the period; modest but directionally positive signal.</w:t>
            </w:r>
          </w:p>
        </w:tc>
      </w:tr>
      <w:tr>
        <w:tc>
          <w:tcPr>
            <w:tcW w:type="dxa" w:w="1440"/>
          </w:tcPr>
          <w:p>
            <w:r>
              <w:rPr>
                <w:rFonts w:ascii="Calibri" w:hAnsi="Calibri"/>
                <w:sz w:val="22"/>
              </w:rPr>
              <w:t>Vlcek Ondrej</w:t>
            </w:r>
          </w:p>
        </w:tc>
        <w:tc>
          <w:tcPr>
            <w:tcW w:type="dxa" w:w="1440"/>
          </w:tcPr>
          <w:p>
            <w:r>
              <w:rPr>
                <w:rFonts w:ascii="Calibri" w:hAnsi="Calibri"/>
                <w:sz w:val="22"/>
              </w:rPr>
              <w:t>Director</w:t>
            </w:r>
          </w:p>
        </w:tc>
        <w:tc>
          <w:tcPr>
            <w:tcW w:type="dxa" w:w="1440"/>
          </w:tcPr>
          <w:p>
            <w:r>
              <w:rPr>
                <w:rFonts w:ascii="Calibri" w:hAnsi="Calibri"/>
                <w:sz w:val="22"/>
              </w:rPr>
              <w:t>Tax Withholding (F-code)</w:t>
            </w:r>
          </w:p>
        </w:tc>
        <w:tc>
          <w:tcPr>
            <w:tcW w:type="dxa" w:w="1440"/>
          </w:tcPr>
          <w:p>
            <w:r>
              <w:rPr>
                <w:rFonts w:ascii="Calibri" w:hAnsi="Calibri"/>
                <w:sz w:val="22"/>
              </w:rPr>
              <w:t>~$3.4K (128 shares)</w:t>
            </w:r>
          </w:p>
        </w:tc>
        <w:tc>
          <w:tcPr>
            <w:tcW w:type="dxa" w:w="1440"/>
          </w:tcPr>
          <w:p>
            <w:r>
              <w:rPr>
                <w:rFonts w:ascii="Calibri" w:hAnsi="Calibri"/>
                <w:sz w:val="22"/>
              </w:rPr>
              <w:t>June 1, 2026</w:t>
            </w:r>
          </w:p>
        </w:tc>
        <w:tc>
          <w:tcPr>
            <w:tcW w:type="dxa" w:w="1440"/>
          </w:tcPr>
          <w:p>
            <w:r>
              <w:rPr>
                <w:rFonts w:ascii="Calibri" w:hAnsi="Calibri"/>
                <w:sz w:val="22"/>
              </w:rPr>
              <w:t>Shares withheld for tax obligation on vesting; routine, not discretionary.</w:t>
            </w:r>
          </w:p>
        </w:tc>
      </w:tr>
      <w:tr>
        <w:tc>
          <w:tcPr>
            <w:tcW w:type="dxa" w:w="1440"/>
          </w:tcPr>
          <w:p>
            <w:r>
              <w:rPr>
                <w:rFonts w:ascii="Calibri" w:hAnsi="Calibri"/>
                <w:sz w:val="22"/>
              </w:rPr>
              <w:t>Derse Natalie Marie</w:t>
            </w:r>
          </w:p>
        </w:tc>
        <w:tc>
          <w:tcPr>
            <w:tcW w:type="dxa" w:w="1440"/>
          </w:tcPr>
          <w:p>
            <w:r>
              <w:rPr>
                <w:rFonts w:ascii="Calibri" w:hAnsi="Calibri"/>
                <w:sz w:val="22"/>
              </w:rPr>
              <w:t>CFO</w:t>
            </w:r>
          </w:p>
        </w:tc>
        <w:tc>
          <w:tcPr>
            <w:tcW w:type="dxa" w:w="1440"/>
          </w:tcPr>
          <w:p>
            <w:r>
              <w:rPr>
                <w:rFonts w:ascii="Calibri" w:hAnsi="Calibri"/>
                <w:sz w:val="22"/>
              </w:rPr>
              <w:t>Award Grant (A-code)</w:t>
            </w:r>
          </w:p>
        </w:tc>
        <w:tc>
          <w:tcPr>
            <w:tcW w:type="dxa" w:w="1440"/>
          </w:tcPr>
          <w:p>
            <w:r>
              <w:rPr>
                <w:rFonts w:ascii="Calibri" w:hAnsi="Calibri"/>
                <w:sz w:val="22"/>
              </w:rPr>
              <w:t>135,118 shares</w:t>
            </w:r>
          </w:p>
        </w:tc>
        <w:tc>
          <w:tcPr>
            <w:tcW w:type="dxa" w:w="1440"/>
          </w:tcPr>
          <w:p>
            <w:r>
              <w:rPr>
                <w:rFonts w:ascii="Calibri" w:hAnsi="Calibri"/>
                <w:sz w:val="22"/>
              </w:rPr>
              <w:t>May 8, 2026</w:t>
            </w:r>
          </w:p>
        </w:tc>
        <w:tc>
          <w:tcPr>
            <w:tcW w:type="dxa" w:w="1440"/>
          </w:tcPr>
          <w:p>
            <w:r>
              <w:rPr>
                <w:rFonts w:ascii="Calibri" w:hAnsi="Calibri"/>
                <w:sz w:val="22"/>
              </w:rPr>
              <w:t>Equity award grant (not an open-market purchase); routine compensation.</w:t>
            </w:r>
          </w:p>
        </w:tc>
      </w:tr>
      <w:tr>
        <w:tc>
          <w:tcPr>
            <w:tcW w:type="dxa" w:w="1440"/>
          </w:tcPr>
          <w:p>
            <w:r>
              <w:rPr>
                <w:rFonts w:ascii="Calibri" w:hAnsi="Calibri"/>
                <w:sz w:val="22"/>
              </w:rPr>
              <w:t>Ko Bryan Seuk</w:t>
            </w:r>
          </w:p>
        </w:tc>
        <w:tc>
          <w:tcPr>
            <w:tcW w:type="dxa" w:w="1440"/>
          </w:tcPr>
          <w:p>
            <w:r>
              <w:rPr>
                <w:rFonts w:ascii="Calibri" w:hAnsi="Calibri"/>
                <w:sz w:val="22"/>
              </w:rPr>
              <w:t>COO, CLO &amp; Secretary</w:t>
            </w:r>
          </w:p>
        </w:tc>
        <w:tc>
          <w:tcPr>
            <w:tcW w:type="dxa" w:w="1440"/>
          </w:tcPr>
          <w:p>
            <w:r>
              <w:rPr>
                <w:rFonts w:ascii="Calibri" w:hAnsi="Calibri"/>
                <w:sz w:val="22"/>
              </w:rPr>
              <w:t>Award Grant (A-code)</w:t>
            </w:r>
          </w:p>
        </w:tc>
        <w:tc>
          <w:tcPr>
            <w:tcW w:type="dxa" w:w="1440"/>
          </w:tcPr>
          <w:p>
            <w:r>
              <w:rPr>
                <w:rFonts w:ascii="Calibri" w:hAnsi="Calibri"/>
                <w:sz w:val="22"/>
              </w:rPr>
              <w:t>135,118 shares</w:t>
            </w:r>
          </w:p>
        </w:tc>
        <w:tc>
          <w:tcPr>
            <w:tcW w:type="dxa" w:w="1440"/>
          </w:tcPr>
          <w:p>
            <w:r>
              <w:rPr>
                <w:rFonts w:ascii="Calibri" w:hAnsi="Calibri"/>
                <w:sz w:val="22"/>
              </w:rPr>
              <w:t>May 8, 2026</w:t>
            </w:r>
          </w:p>
        </w:tc>
        <w:tc>
          <w:tcPr>
            <w:tcW w:type="dxa" w:w="1440"/>
          </w:tcPr>
          <w:p>
            <w:r>
              <w:rPr>
                <w:rFonts w:ascii="Calibri" w:hAnsi="Calibri"/>
                <w:sz w:val="22"/>
              </w:rPr>
              <w:t>Equity award grant (not an open-market purchase); routine compensation.</w:t>
            </w:r>
          </w:p>
        </w:tc>
      </w:tr>
      <w:tr>
        <w:tc>
          <w:tcPr>
            <w:tcW w:type="dxa" w:w="1440"/>
          </w:tcPr>
          <w:p>
            <w:r>
              <w:rPr>
                <w:rFonts w:ascii="Calibri" w:hAnsi="Calibri"/>
                <w:sz w:val="22"/>
              </w:rPr>
              <w:t>Pilette Vincent</w:t>
            </w:r>
          </w:p>
        </w:tc>
        <w:tc>
          <w:tcPr>
            <w:tcW w:type="dxa" w:w="1440"/>
          </w:tcPr>
          <w:p>
            <w:r>
              <w:rPr>
                <w:rFonts w:ascii="Calibri" w:hAnsi="Calibri"/>
                <w:sz w:val="22"/>
              </w:rPr>
              <w:t>CEO, President &amp; Chair</w:t>
            </w:r>
          </w:p>
        </w:tc>
        <w:tc>
          <w:tcPr>
            <w:tcW w:type="dxa" w:w="1440"/>
          </w:tcPr>
          <w:p>
            <w:r>
              <w:rPr>
                <w:rFonts w:ascii="Calibri" w:hAnsi="Calibri"/>
                <w:sz w:val="22"/>
              </w:rPr>
              <w:t>Award Grant (A-code)</w:t>
            </w:r>
          </w:p>
        </w:tc>
        <w:tc>
          <w:tcPr>
            <w:tcW w:type="dxa" w:w="1440"/>
          </w:tcPr>
          <w:p>
            <w:r>
              <w:rPr>
                <w:rFonts w:ascii="Calibri" w:hAnsi="Calibri"/>
                <w:sz w:val="22"/>
              </w:rPr>
              <w:t>498,896 shares</w:t>
            </w:r>
          </w:p>
        </w:tc>
        <w:tc>
          <w:tcPr>
            <w:tcW w:type="dxa" w:w="1440"/>
          </w:tcPr>
          <w:p>
            <w:r>
              <w:rPr>
                <w:rFonts w:ascii="Calibri" w:hAnsi="Calibri"/>
                <w:sz w:val="22"/>
              </w:rPr>
              <w:t>May 8, 2026</w:t>
            </w:r>
          </w:p>
        </w:tc>
        <w:tc>
          <w:tcPr>
            <w:tcW w:type="dxa" w:w="1440"/>
          </w:tcPr>
          <w:p>
            <w:r>
              <w:rPr>
                <w:rFonts w:ascii="Calibri" w:hAnsi="Calibri"/>
                <w:sz w:val="22"/>
              </w:rPr>
              <w:t>Equity award grant (not an open-market purchase); routine compensation.</w:t>
            </w:r>
          </w:p>
        </w:tc>
      </w:tr>
    </w:tbl>
    <w:p>
      <w:r>
        <w:rPr>
          <w:rFonts w:ascii="Calibri" w:hAnsi="Calibri"/>
          <w:i/>
          <w:color w:val="525866"/>
          <w:sz w:val="22"/>
        </w:rPr>
        <w:t xml:space="preserve">Source: Insider Transaction Data (SEC Form 4 filings). </w:t>
      </w:r>
      <w:r>
        <w:rPr>
          <w:rFonts w:ascii="Calibri" w:hAnsi="Calibri"/>
          <w:i/>
          <w:color w:val="525866"/>
          <w:sz w:val="22"/>
        </w:rPr>
        <w:t>Open-market transactions only (Form 4 codes P/S/F). Award grants (A-code) are equity compensation and not indicative of directional conviction. The Director Vlcek sale of 100,000 shares on June 10 is the most notable transaction — it is a meaningful size relative to his remaining position (3.83M shares post-sale) but is not accompanied by a 10b5-1 plan designation, making it a discretionary sale. No executive-level (CEO/CFO/COO) open-market selling was observed in the period.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