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 Digital Inc. (GEN)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Gen Digital Inc.</w:t>
            </w:r>
          </w:p>
        </w:tc>
      </w:tr>
      <w:tr>
        <w:tc>
          <w:tcPr>
            <w:tcW w:type="dxa" w:w="4320"/>
          </w:tcPr>
          <w:p>
            <w:r>
              <w:rPr>
                <w:rFonts w:ascii="Calibri" w:hAnsi="Calibri"/>
                <w:b/>
                <w:sz w:val="22"/>
              </w:rPr>
              <w:t>Ticker</w:t>
            </w:r>
          </w:p>
        </w:tc>
        <w:tc>
          <w:tcPr>
            <w:tcW w:type="dxa" w:w="4320"/>
          </w:tcPr>
          <w:p>
            <w:r>
              <w:rPr>
                <w:rFonts w:ascii="Calibri" w:hAnsi="Calibri"/>
                <w:sz w:val="22"/>
              </w:rPr>
              <w:t>GEN (NASDAQ)</w:t>
            </w:r>
          </w:p>
        </w:tc>
      </w:tr>
      <w:tr>
        <w:tc>
          <w:tcPr>
            <w:tcW w:type="dxa" w:w="4320"/>
          </w:tcPr>
          <w:p>
            <w:r>
              <w:rPr>
                <w:rFonts w:ascii="Calibri" w:hAnsi="Calibri"/>
                <w:b/>
                <w:sz w:val="22"/>
              </w:rPr>
              <w:t>Reporting Period</w:t>
            </w:r>
          </w:p>
        </w:tc>
        <w:tc>
          <w:tcPr>
            <w:tcW w:type="dxa" w:w="4320"/>
          </w:tcPr>
          <w:p>
            <w:r>
              <w:rPr>
                <w:rFonts w:ascii="Calibri" w:hAnsi="Calibri"/>
                <w:sz w:val="22"/>
              </w:rPr>
              <w:t>Fiscal Q1 2027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7, 2026 (FQ4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sits at or below the guidance midpoint on both revenue and EPS, management raised FY27 guidance materially at the last print, and the biggest swing factor is whether MoneyLion sustains its ~40% growth trajectory into the first full quarter of the new fiscal year.</w:t>
      </w:r>
    </w:p>
    <w:p>
      <w:r>
        <w:rPr>
          <w:rFonts w:ascii="Calibri" w:hAnsi="Calibri"/>
          <w:color w:val="525866"/>
          <w:sz w:val="22"/>
        </w:rPr>
        <w:t xml:space="preserve">Heading into the fiscal Q1 2027 print, the bar looks manageable: consensus revenue of ~$1.31B sits at the low end of the $1.30–$1.325B guidance range, and consensus EPS of ~$0.69 is just below the $0.68–$0.70 midpoint, leaving room for a modest beat if execution holds. </w:t>
      </w:r>
      <w:r>
        <w:rPr>
          <w:rFonts w:ascii="Calibri" w:hAnsi="Calibri"/>
          <w:b/>
          <w:color w:val="525866"/>
          <w:sz w:val="22"/>
        </w:rPr>
        <w:t>Management's tone at the May 7 earnings call was the most confident in several years</w:t>
      </w:r>
      <w:r>
        <w:rPr>
          <w:rFonts w:ascii="Calibri" w:hAnsi="Calibri"/>
          <w:color w:val="525866"/>
          <w:sz w:val="22"/>
        </w:rPr>
        <w:t xml:space="preserve"> — the company raised FY27 revenue growth guidance to 8–10% (from a prior mid-single-digit midterm target) and guided mid-teens EPS growth of 13–17%, framing it as a "clear trajectory shift." Estimate revisions have been essentially flat since the post-print baseline, suggesting the Street has absorbed the raised guidance without adding incremental cushion, which keeps the risk/reward balanced. The stock has rallied ~38% since the May 7 print (from ~$20 to ~$28), recovering much of its prior-year underperformance, but the NTM P/E of ~9.4x and EV/EBITDA of ~8.1x remain well below historical averages, implying the market is still in "show-me" mode rather than pricing in a full re-rating. </w:t>
      </w:r>
      <w:r>
        <w:rPr>
          <w:rFonts w:ascii="Calibri" w:hAnsi="Calibri"/>
          <w:color w:val="525866"/>
          <w:sz w:val="22"/>
        </w:rPr>
        <w:t>The key wildcard is MoneyLion: it delivered nearly 40% growth in FQ4 2026 and is approaching $1B in annual revenue — any deceleration below ~30% would disappoint, while a sustained 35–40% print would be the single biggest positive catalyst for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or below the guidance midpoint on every major metric, making the bar achievable. </w:t>
      </w:r>
      <w:r>
        <w:rPr>
          <w:rFonts w:ascii="Calibri" w:hAnsi="Calibri"/>
          <w:b/>
          <w:color w:val="525866"/>
          <w:sz w:val="22"/>
        </w:rPr>
        <w:t>MoneyLion revenue is the bigger swing factor</w:t>
      </w:r>
      <w:r>
        <w:rPr>
          <w:rFonts w:ascii="Calibri" w:hAnsi="Calibri"/>
          <w:color w:val="525866"/>
          <w:sz w:val="22"/>
        </w:rPr>
        <w:t xml:space="preserve"> — the Street models ~$269M vs. the ~$233M reported last quarter, implying a deceleration from ~40% growth; any upside there would drive the most incremental surprise.</w:t>
      </w:r>
    </w:p>
    <w:p>
      <w:pPr>
        <w:pStyle w:val="Heading3"/>
      </w:pPr>
      <w:r>
        <w:rPr>
          <w:rFonts w:ascii="Calibri" w:hAnsi="Calibri"/>
          <w:b/>
          <w:color w:val="3B4259"/>
          <w:sz w:val="24"/>
        </w:rPr>
        <w:t>Table 1 — Current Quarter Snapshot (FQ1 2027,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(FQ4 2026)</w:t>
            </w:r>
          </w:p>
        </w:tc>
        <w:tc>
          <w:tcPr>
            <w:tcW w:type="dxa" w:w="1234"/>
            <w:shd w:val="clear" w:color="auto" w:fill="3B4259"/>
          </w:tcPr>
          <w:p>
            <w:r>
              <w:rPr>
                <w:rFonts w:ascii="Calibri" w:hAnsi="Calibri"/>
                <w:b/>
                <w:color w:val="FFFFFF"/>
                <w:sz w:val="22"/>
              </w:rPr>
              <w:t>Prior Year Period Actual (FQ1 2026)</w:t>
            </w:r>
          </w:p>
        </w:tc>
        <w:tc>
          <w:tcPr>
            <w:tcW w:type="dxa" w:w="1234"/>
            <w:shd w:val="clear" w:color="auto" w:fill="3B4259"/>
          </w:tcPr>
          <w:p>
            <w:r>
              <w:rPr>
                <w:rFonts w:ascii="Calibri" w:hAnsi="Calibri"/>
                <w:b/>
                <w:color w:val="FFFFFF"/>
                <w:sz w:val="22"/>
              </w:rPr>
              <w:t>Consensus Estimate (FQ1 2027)</w:t>
            </w:r>
          </w:p>
        </w:tc>
        <w:tc>
          <w:tcPr>
            <w:tcW w:type="dxa" w:w="1234"/>
            <w:shd w:val="clear" w:color="auto" w:fill="3B4259"/>
          </w:tcPr>
          <w:p>
            <w:r>
              <w:rPr>
                <w:rFonts w:ascii="Calibri" w:hAnsi="Calibri"/>
                <w:b/>
                <w:color w:val="FFFFFF"/>
                <w:sz w:val="22"/>
              </w:rPr>
              <w:t>YoY Change (vs. FQ1 2026)</w:t>
            </w:r>
          </w:p>
        </w:tc>
        <w:tc>
          <w:tcPr>
            <w:tcW w:type="dxa" w:w="1234"/>
            <w:shd w:val="clear" w:color="auto" w:fill="3B4259"/>
          </w:tcPr>
          <w:p>
            <w:r>
              <w:rPr>
                <w:rFonts w:ascii="Calibri" w:hAnsi="Calibri"/>
                <w:b/>
                <w:color w:val="FFFFFF"/>
                <w:sz w:val="22"/>
              </w:rPr>
              <w:t>Guidance (FQ1 2027)</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(Operating)</w:t>
            </w:r>
          </w:p>
        </w:tc>
        <w:tc>
          <w:tcPr>
            <w:tcW w:type="dxa" w:w="1234"/>
          </w:tcPr>
          <w:p>
            <w:r>
              <w:rPr>
                <w:rFonts w:ascii="Calibri" w:hAnsi="Calibri"/>
                <w:sz w:val="22"/>
              </w:rPr>
              <w:t>$1,283M</w:t>
            </w:r>
          </w:p>
        </w:tc>
        <w:tc>
          <w:tcPr>
            <w:tcW w:type="dxa" w:w="1234"/>
          </w:tcPr>
          <w:p>
            <w:r>
              <w:rPr>
                <w:rFonts w:ascii="Calibri" w:hAnsi="Calibri"/>
                <w:sz w:val="22"/>
              </w:rPr>
              <w:t>$1,257M</w:t>
            </w:r>
          </w:p>
        </w:tc>
        <w:tc>
          <w:tcPr>
            <w:tcW w:type="dxa" w:w="1234"/>
          </w:tcPr>
          <w:p>
            <w:r>
              <w:rPr>
                <w:rFonts w:ascii="Calibri" w:hAnsi="Calibri"/>
                <w:sz w:val="22"/>
              </w:rPr>
              <w:t>$1,314M</w:t>
            </w:r>
          </w:p>
        </w:tc>
        <w:tc>
          <w:tcPr>
            <w:tcW w:type="dxa" w:w="1234"/>
          </w:tcPr>
          <w:p>
            <w:r>
              <w:rPr>
                <w:rFonts w:ascii="Calibri" w:hAnsi="Calibri"/>
                <w:sz w:val="22"/>
              </w:rPr>
              <w:t>+4.5%</w:t>
            </w:r>
          </w:p>
        </w:tc>
        <w:tc>
          <w:tcPr>
            <w:tcW w:type="dxa" w:w="1234"/>
          </w:tcPr>
          <w:p>
            <w:r>
              <w:rPr>
                <w:rFonts w:ascii="Calibri" w:hAnsi="Calibri"/>
                <w:sz w:val="22"/>
              </w:rPr>
              <w:t>$1,300M – $1,325M</w:t>
            </w:r>
          </w:p>
        </w:tc>
        <w:tc>
          <w:tcPr>
            <w:tcW w:type="dxa" w:w="1234"/>
          </w:tcPr>
          <w:p>
            <w:r>
              <w:rPr>
                <w:rFonts w:ascii="Calibri" w:hAnsi="Calibri"/>
                <w:sz w:val="22"/>
              </w:rPr>
              <w:t>-0.1% (at low end)</w:t>
            </w:r>
          </w:p>
        </w:tc>
      </w:tr>
      <w:tr>
        <w:tc>
          <w:tcPr>
            <w:tcW w:type="dxa" w:w="1234"/>
          </w:tcPr>
          <w:p>
            <w:r>
              <w:rPr>
                <w:rFonts w:ascii="Calibri" w:hAnsi="Calibri"/>
                <w:sz w:val="22"/>
              </w:rPr>
              <w:t>EPS — Diluted (Operating)</w:t>
            </w:r>
          </w:p>
        </w:tc>
        <w:tc>
          <w:tcPr>
            <w:tcW w:type="dxa" w:w="1234"/>
          </w:tcPr>
          <w:p>
            <w:r>
              <w:rPr>
                <w:rFonts w:ascii="Calibri" w:hAnsi="Calibri"/>
                <w:sz w:val="22"/>
              </w:rPr>
              <w:t>$0.67</w:t>
            </w:r>
          </w:p>
        </w:tc>
        <w:tc>
          <w:tcPr>
            <w:tcW w:type="dxa" w:w="1234"/>
          </w:tcPr>
          <w:p>
            <w:r>
              <w:rPr>
                <w:rFonts w:ascii="Calibri" w:hAnsi="Calibri"/>
                <w:sz w:val="22"/>
              </w:rPr>
              <w:t>$0.64</w:t>
            </w:r>
          </w:p>
        </w:tc>
        <w:tc>
          <w:tcPr>
            <w:tcW w:type="dxa" w:w="1234"/>
          </w:tcPr>
          <w:p>
            <w:r>
              <w:rPr>
                <w:rFonts w:ascii="Calibri" w:hAnsi="Calibri"/>
                <w:sz w:val="22"/>
              </w:rPr>
              <w:t>$0.690</w:t>
            </w:r>
          </w:p>
        </w:tc>
        <w:tc>
          <w:tcPr>
            <w:tcW w:type="dxa" w:w="1234"/>
          </w:tcPr>
          <w:p>
            <w:r>
              <w:rPr>
                <w:rFonts w:ascii="Calibri" w:hAnsi="Calibri"/>
                <w:sz w:val="22"/>
              </w:rPr>
              <w:t>+7.8%</w:t>
            </w:r>
          </w:p>
        </w:tc>
        <w:tc>
          <w:tcPr>
            <w:tcW w:type="dxa" w:w="1234"/>
          </w:tcPr>
          <w:p>
            <w:r>
              <w:rPr>
                <w:rFonts w:ascii="Calibri" w:hAnsi="Calibri"/>
                <w:sz w:val="22"/>
              </w:rPr>
              <w:t>$0.68 – $0.70</w:t>
            </w:r>
          </w:p>
        </w:tc>
        <w:tc>
          <w:tcPr>
            <w:tcW w:type="dxa" w:w="1234"/>
          </w:tcPr>
          <w:p>
            <w:r>
              <w:rPr>
                <w:rFonts w:ascii="Calibri" w:hAnsi="Calibri"/>
                <w:sz w:val="22"/>
              </w:rPr>
              <w:t>-0.7% (just below midpoint)</w:t>
            </w:r>
          </w:p>
        </w:tc>
      </w:tr>
      <w:tr>
        <w:tc>
          <w:tcPr>
            <w:tcW w:type="dxa" w:w="1234"/>
          </w:tcPr>
          <w:p>
            <w:r>
              <w:rPr>
                <w:rFonts w:ascii="Calibri" w:hAnsi="Calibri"/>
                <w:sz w:val="22"/>
              </w:rPr>
              <w:t>MoneyLion Revenue</w:t>
            </w:r>
          </w:p>
        </w:tc>
        <w:tc>
          <w:tcPr>
            <w:tcW w:type="dxa" w:w="1234"/>
          </w:tcPr>
          <w:p>
            <w:r>
              <w:rPr>
                <w:rFonts w:ascii="Calibri" w:hAnsi="Calibri"/>
                <w:sz w:val="22"/>
              </w:rPr>
              <w:t>$233M</w:t>
            </w:r>
          </w:p>
        </w:tc>
        <w:tc>
          <w:tcPr>
            <w:tcW w:type="dxa" w:w="1234"/>
          </w:tcPr>
          <w:p>
            <w:r>
              <w:rPr>
                <w:rFonts w:ascii="Calibri" w:hAnsi="Calibri"/>
                <w:sz w:val="22"/>
              </w:rPr>
              <w:t>$168M</w:t>
            </w:r>
          </w:p>
        </w:tc>
        <w:tc>
          <w:tcPr>
            <w:tcW w:type="dxa" w:w="1234"/>
          </w:tcPr>
          <w:p>
            <w:r>
              <w:rPr>
                <w:rFonts w:ascii="Calibri" w:hAnsi="Calibri"/>
                <w:sz w:val="22"/>
              </w:rPr>
              <w:t>$269M</w:t>
            </w:r>
          </w:p>
        </w:tc>
        <w:tc>
          <w:tcPr>
            <w:tcW w:type="dxa" w:w="1234"/>
          </w:tcPr>
          <w:p>
            <w:r>
              <w:rPr>
                <w:rFonts w:ascii="Calibri" w:hAnsi="Calibri"/>
                <w:sz w:val="22"/>
              </w:rPr>
              <w:t>+60.1%</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Cyber Safety Revenue</w:t>
            </w:r>
          </w:p>
        </w:tc>
        <w:tc>
          <w:tcPr>
            <w:tcW w:type="dxa" w:w="1234"/>
          </w:tcPr>
          <w:p>
            <w:r>
              <w:rPr>
                <w:rFonts w:ascii="Calibri" w:hAnsi="Calibri"/>
                <w:sz w:val="22"/>
              </w:rPr>
              <w:t>$1,032M</w:t>
            </w:r>
          </w:p>
        </w:tc>
        <w:tc>
          <w:tcPr>
            <w:tcW w:type="dxa" w:w="1234"/>
          </w:tcPr>
          <w:p>
            <w:r>
              <w:rPr>
                <w:rFonts w:ascii="Calibri" w:hAnsi="Calibri"/>
                <w:sz w:val="22"/>
              </w:rPr>
              <w:t>$1,185M</w:t>
            </w:r>
          </w:p>
        </w:tc>
        <w:tc>
          <w:tcPr>
            <w:tcW w:type="dxa" w:w="1234"/>
          </w:tcPr>
          <w:p>
            <w:r>
              <w:rPr>
                <w:rFonts w:ascii="Calibri" w:hAnsi="Calibri"/>
                <w:sz w:val="22"/>
              </w:rPr>
              <w:t>$1,226M</w:t>
            </w:r>
          </w:p>
        </w:tc>
        <w:tc>
          <w:tcPr>
            <w:tcW w:type="dxa" w:w="1234"/>
          </w:tcPr>
          <w:p>
            <w:r>
              <w:rPr>
                <w:rFonts w:ascii="Calibri" w:hAnsi="Calibri"/>
                <w:sz w:val="22"/>
              </w:rPr>
              <w:t>+3.5%</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Partner Revenue</w:t>
            </w:r>
          </w:p>
        </w:tc>
        <w:tc>
          <w:tcPr>
            <w:tcW w:type="dxa" w:w="1234"/>
          </w:tcPr>
          <w:p>
            <w:r>
              <w:rPr>
                <w:rFonts w:ascii="Calibri" w:hAnsi="Calibri"/>
                <w:sz w:val="22"/>
              </w:rPr>
              <w:t>$127M</w:t>
            </w:r>
          </w:p>
        </w:tc>
        <w:tc>
          <w:tcPr>
            <w:tcW w:type="dxa" w:w="1234"/>
          </w:tcPr>
          <w:p>
            <w:r>
              <w:rPr>
                <w:rFonts w:ascii="Calibri" w:hAnsi="Calibri"/>
                <w:sz w:val="22"/>
              </w:rPr>
              <w:t>$168M</w:t>
            </w:r>
          </w:p>
        </w:tc>
        <w:tc>
          <w:tcPr>
            <w:tcW w:type="dxa" w:w="1234"/>
          </w:tcPr>
          <w:p>
            <w:r>
              <w:rPr>
                <w:rFonts w:ascii="Calibri" w:hAnsi="Calibri"/>
                <w:sz w:val="22"/>
              </w:rPr>
              <w:t>$193M</w:t>
            </w:r>
          </w:p>
        </w:tc>
        <w:tc>
          <w:tcPr>
            <w:tcW w:type="dxa" w:w="1234"/>
          </w:tcPr>
          <w:p>
            <w:r>
              <w:rPr>
                <w:rFonts w:ascii="Calibri" w:hAnsi="Calibri"/>
                <w:sz w:val="22"/>
              </w:rPr>
              <w:t>+14.9%</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Direct Customer Retention Rate</w:t>
            </w:r>
          </w:p>
        </w:tc>
        <w:tc>
          <w:tcPr>
            <w:tcW w:type="dxa" w:w="1234"/>
          </w:tcPr>
          <w:p>
            <w:r>
              <w:rPr>
                <w:rFonts w:ascii="Calibri" w:hAnsi="Calibri"/>
                <w:sz w:val="22"/>
              </w:rPr>
              <w:t>78.7%</w:t>
            </w:r>
          </w:p>
        </w:tc>
        <w:tc>
          <w:tcPr>
            <w:tcW w:type="dxa" w:w="1234"/>
          </w:tcPr>
          <w:p>
            <w:r>
              <w:rPr>
                <w:rFonts w:ascii="Calibri" w:hAnsi="Calibri"/>
                <w:sz w:val="22"/>
              </w:rPr>
              <w:t>77.7%</w:t>
            </w:r>
          </w:p>
        </w:tc>
        <w:tc>
          <w:tcPr>
            <w:tcW w:type="dxa" w:w="1234"/>
          </w:tcPr>
          <w:p>
            <w:r>
              <w:rPr>
                <w:rFonts w:ascii="Calibri" w:hAnsi="Calibri"/>
                <w:sz w:val="22"/>
              </w:rPr>
              <w:t>78.8%</w:t>
            </w:r>
          </w:p>
        </w:tc>
        <w:tc>
          <w:tcPr>
            <w:tcW w:type="dxa" w:w="1234"/>
          </w:tcPr>
          <w:p>
            <w:r>
              <w:rPr>
                <w:rFonts w:ascii="Calibri" w:hAnsi="Calibri"/>
                <w:sz w:val="22"/>
              </w:rPr>
              <w:t>+110 bps</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Sources: Visible Alpha Consensus and Actuals Data (Net Revenue, EPS, MoneyLion Revenue, Cyber Safety Revenue, Partner Revenue, Direct Customer Retention Rate); Gen Digital FQ4 2026 Earnings Release (May 7, 2026) for guidance ranges.</w:t>
      </w:r>
    </w:p>
    <w:p>
      <w:pPr>
        <w:pStyle w:val="Heading3"/>
      </w:pPr>
      <w:r>
        <w:rPr>
          <w:rFonts w:ascii="Calibri" w:hAnsi="Calibri"/>
          <w:b/>
          <w:color w:val="3B4259"/>
          <w:sz w:val="24"/>
        </w:rPr>
        <w:t>Table 2 — Beat / Miss History (Last 8 Quarters, Top 2 KPIs)</w:t>
      </w:r>
    </w:p>
    <w:p>
      <w:r>
        <w:rPr>
          <w:rFonts w:ascii="Calibri" w:hAnsi="Calibri"/>
          <w:b/>
          <w:color w:val="525866"/>
          <w:sz w:val="22"/>
        </w:rPr>
        <w:t>Top 2 KPIs: Net Revenue (Operating) and EPS — Diluted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FQ1 2025 (Jun-24)</w:t>
            </w:r>
          </w:p>
        </w:tc>
        <w:tc>
          <w:tcPr>
            <w:tcW w:type="dxa" w:w="1440"/>
          </w:tcPr>
          <w:p>
            <w:r>
              <w:rPr>
                <w:rFonts w:ascii="Calibri" w:hAnsi="Calibri"/>
                <w:sz w:val="22"/>
              </w:rPr>
              <w:t>Revenue</w:t>
            </w:r>
          </w:p>
        </w:tc>
        <w:tc>
          <w:tcPr>
            <w:tcW w:type="dxa" w:w="1440"/>
          </w:tcPr>
          <w:p>
            <w:r>
              <w:rPr>
                <w:rFonts w:ascii="Calibri" w:hAnsi="Calibri"/>
                <w:sz w:val="22"/>
              </w:rPr>
              <w:t>$965M</w:t>
            </w:r>
          </w:p>
        </w:tc>
        <w:tc>
          <w:tcPr>
            <w:tcW w:type="dxa" w:w="1440"/>
          </w:tcPr>
          <w:p>
            <w:r>
              <w:rPr>
                <w:rFonts w:ascii="Calibri" w:hAnsi="Calibri"/>
                <w:sz w:val="22"/>
              </w:rPr>
              <w:t>$964M</w:t>
            </w:r>
          </w:p>
        </w:tc>
        <w:tc>
          <w:tcPr>
            <w:tcW w:type="dxa" w:w="1440"/>
          </w:tcPr>
          <w:p>
            <w:r>
              <w:rPr>
                <w:rFonts w:ascii="Calibri" w:hAnsi="Calibri"/>
                <w:sz w:val="22"/>
              </w:rPr>
              <w:t>+0.1%</w:t>
            </w:r>
          </w:p>
        </w:tc>
        <w:tc>
          <w:tcPr>
            <w:tcW w:type="dxa" w:w="1440"/>
          </w:tcPr>
          <w:p>
            <w:r>
              <w:rPr>
                <w:rFonts w:ascii="Calibri" w:hAnsi="Calibri"/>
                <w:b/>
                <w:color w:val="30A46C"/>
                <w:sz w:val="22"/>
              </w:rPr>
              <w:t>Beat</w:t>
            </w:r>
          </w:p>
        </w:tc>
      </w:tr>
      <w:tr>
        <w:tc>
          <w:tcPr>
            <w:tcW w:type="dxa" w:w="1440"/>
          </w:tcPr>
          <w:p>
            <w:r>
              <w:rPr>
                <w:rFonts w:ascii="Calibri" w:hAnsi="Calibri"/>
                <w:sz w:val="22"/>
              </w:rPr>
              <w:t>FQ1 2025 (Jun-24)</w:t>
            </w:r>
          </w:p>
        </w:tc>
        <w:tc>
          <w:tcPr>
            <w:tcW w:type="dxa" w:w="1440"/>
          </w:tcPr>
          <w:p>
            <w:r>
              <w:rPr>
                <w:rFonts w:ascii="Calibri" w:hAnsi="Calibri"/>
                <w:sz w:val="22"/>
              </w:rPr>
              <w:t>EPS</w:t>
            </w:r>
          </w:p>
        </w:tc>
        <w:tc>
          <w:tcPr>
            <w:tcW w:type="dxa" w:w="1440"/>
          </w:tcPr>
          <w:p>
            <w:r>
              <w:rPr>
                <w:rFonts w:ascii="Calibri" w:hAnsi="Calibri"/>
                <w:sz w:val="22"/>
              </w:rPr>
              <w:t>$0.53</w:t>
            </w:r>
          </w:p>
        </w:tc>
        <w:tc>
          <w:tcPr>
            <w:tcW w:type="dxa" w:w="1440"/>
          </w:tcPr>
          <w:p>
            <w:r>
              <w:rPr>
                <w:rFonts w:ascii="Calibri" w:hAnsi="Calibri"/>
                <w:sz w:val="22"/>
              </w:rPr>
              <w:t>$0.526</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FQ2 2025 (Sep-24)</w:t>
            </w:r>
          </w:p>
        </w:tc>
        <w:tc>
          <w:tcPr>
            <w:tcW w:type="dxa" w:w="1440"/>
          </w:tcPr>
          <w:p>
            <w:r>
              <w:rPr>
                <w:rFonts w:ascii="Calibri" w:hAnsi="Calibri"/>
                <w:sz w:val="22"/>
              </w:rPr>
              <w:t>Revenue</w:t>
            </w:r>
          </w:p>
        </w:tc>
        <w:tc>
          <w:tcPr>
            <w:tcW w:type="dxa" w:w="1440"/>
          </w:tcPr>
          <w:p>
            <w:r>
              <w:rPr>
                <w:rFonts w:ascii="Calibri" w:hAnsi="Calibri"/>
                <w:sz w:val="22"/>
              </w:rPr>
              <w:t>$974M</w:t>
            </w:r>
          </w:p>
        </w:tc>
        <w:tc>
          <w:tcPr>
            <w:tcW w:type="dxa" w:w="1440"/>
          </w:tcPr>
          <w:p>
            <w:r>
              <w:rPr>
                <w:rFonts w:ascii="Calibri" w:hAnsi="Calibri"/>
                <w:sz w:val="22"/>
              </w:rPr>
              <w:t>$970M</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FQ2 2025 (Sep-24)</w:t>
            </w:r>
          </w:p>
        </w:tc>
        <w:tc>
          <w:tcPr>
            <w:tcW w:type="dxa" w:w="1440"/>
          </w:tcPr>
          <w:p>
            <w:r>
              <w:rPr>
                <w:rFonts w:ascii="Calibri" w:hAnsi="Calibri"/>
                <w:sz w:val="22"/>
              </w:rPr>
              <w:t>EPS</w:t>
            </w:r>
          </w:p>
        </w:tc>
        <w:tc>
          <w:tcPr>
            <w:tcW w:type="dxa" w:w="1440"/>
          </w:tcPr>
          <w:p>
            <w:r>
              <w:rPr>
                <w:rFonts w:ascii="Calibri" w:hAnsi="Calibri"/>
                <w:sz w:val="22"/>
              </w:rPr>
              <w:t>$0.54</w:t>
            </w:r>
          </w:p>
        </w:tc>
        <w:tc>
          <w:tcPr>
            <w:tcW w:type="dxa" w:w="1440"/>
          </w:tcPr>
          <w:p>
            <w:r>
              <w:rPr>
                <w:rFonts w:ascii="Calibri" w:hAnsi="Calibri"/>
                <w:sz w:val="22"/>
              </w:rPr>
              <w:t>$0.540</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FQ3 2025 (Dec-24)</w:t>
            </w:r>
          </w:p>
        </w:tc>
        <w:tc>
          <w:tcPr>
            <w:tcW w:type="dxa" w:w="1440"/>
          </w:tcPr>
          <w:p>
            <w:r>
              <w:rPr>
                <w:rFonts w:ascii="Calibri" w:hAnsi="Calibri"/>
                <w:sz w:val="22"/>
              </w:rPr>
              <w:t>Revenue</w:t>
            </w:r>
          </w:p>
        </w:tc>
        <w:tc>
          <w:tcPr>
            <w:tcW w:type="dxa" w:w="1440"/>
          </w:tcPr>
          <w:p>
            <w:r>
              <w:rPr>
                <w:rFonts w:ascii="Calibri" w:hAnsi="Calibri"/>
                <w:sz w:val="22"/>
              </w:rPr>
              <w:t>$986M</w:t>
            </w:r>
          </w:p>
        </w:tc>
        <w:tc>
          <w:tcPr>
            <w:tcW w:type="dxa" w:w="1440"/>
          </w:tcPr>
          <w:p>
            <w:r>
              <w:rPr>
                <w:rFonts w:ascii="Calibri" w:hAnsi="Calibri"/>
                <w:sz w:val="22"/>
              </w:rPr>
              <w:t>$985M</w:t>
            </w:r>
          </w:p>
        </w:tc>
        <w:tc>
          <w:tcPr>
            <w:tcW w:type="dxa" w:w="1440"/>
          </w:tcPr>
          <w:p>
            <w:r>
              <w:rPr>
                <w:rFonts w:ascii="Calibri" w:hAnsi="Calibri"/>
                <w:sz w:val="22"/>
              </w:rPr>
              <w:t>+0.1%</w:t>
            </w:r>
          </w:p>
        </w:tc>
        <w:tc>
          <w:tcPr>
            <w:tcW w:type="dxa" w:w="1440"/>
          </w:tcPr>
          <w:p>
            <w:r>
              <w:rPr>
                <w:rFonts w:ascii="Calibri" w:hAnsi="Calibri"/>
                <w:b/>
                <w:color w:val="30A46C"/>
                <w:sz w:val="22"/>
              </w:rPr>
              <w:t>Beat</w:t>
            </w:r>
          </w:p>
        </w:tc>
      </w:tr>
      <w:tr>
        <w:tc>
          <w:tcPr>
            <w:tcW w:type="dxa" w:w="1440"/>
          </w:tcPr>
          <w:p>
            <w:r>
              <w:rPr>
                <w:rFonts w:ascii="Calibri" w:hAnsi="Calibri"/>
                <w:sz w:val="22"/>
              </w:rPr>
              <w:t>FQ3 2025 (Dec-24)</w:t>
            </w:r>
          </w:p>
        </w:tc>
        <w:tc>
          <w:tcPr>
            <w:tcW w:type="dxa" w:w="1440"/>
          </w:tcPr>
          <w:p>
            <w:r>
              <w:rPr>
                <w:rFonts w:ascii="Calibri" w:hAnsi="Calibri"/>
                <w:sz w:val="22"/>
              </w:rPr>
              <w:t>EPS</w:t>
            </w:r>
          </w:p>
        </w:tc>
        <w:tc>
          <w:tcPr>
            <w:tcW w:type="dxa" w:w="1440"/>
          </w:tcPr>
          <w:p>
            <w:r>
              <w:rPr>
                <w:rFonts w:ascii="Calibri" w:hAnsi="Calibri"/>
                <w:sz w:val="22"/>
              </w:rPr>
              <w:t>$0.56</w:t>
            </w:r>
          </w:p>
        </w:tc>
        <w:tc>
          <w:tcPr>
            <w:tcW w:type="dxa" w:w="1440"/>
          </w:tcPr>
          <w:p>
            <w:r>
              <w:rPr>
                <w:rFonts w:ascii="Calibri" w:hAnsi="Calibri"/>
                <w:sz w:val="22"/>
              </w:rPr>
              <w:t>$0.554</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FQ4 2025 (Mar-25)</w:t>
            </w:r>
          </w:p>
        </w:tc>
        <w:tc>
          <w:tcPr>
            <w:tcW w:type="dxa" w:w="1440"/>
          </w:tcPr>
          <w:p>
            <w:r>
              <w:rPr>
                <w:rFonts w:ascii="Calibri" w:hAnsi="Calibri"/>
                <w:sz w:val="22"/>
              </w:rPr>
              <w:t>Revenue</w:t>
            </w:r>
          </w:p>
        </w:tc>
        <w:tc>
          <w:tcPr>
            <w:tcW w:type="dxa" w:w="1440"/>
          </w:tcPr>
          <w:p>
            <w:r>
              <w:rPr>
                <w:rFonts w:ascii="Calibri" w:hAnsi="Calibri"/>
                <w:sz w:val="22"/>
              </w:rPr>
              <w:t>$1,010M</w:t>
            </w:r>
          </w:p>
        </w:tc>
        <w:tc>
          <w:tcPr>
            <w:tcW w:type="dxa" w:w="1440"/>
          </w:tcPr>
          <w:p>
            <w:r>
              <w:rPr>
                <w:rFonts w:ascii="Calibri" w:hAnsi="Calibri"/>
                <w:sz w:val="22"/>
              </w:rPr>
              <w:t>$997M</w:t>
            </w:r>
          </w:p>
        </w:tc>
        <w:tc>
          <w:tcPr>
            <w:tcW w:type="dxa" w:w="1440"/>
          </w:tcPr>
          <w:p>
            <w:r>
              <w:rPr>
                <w:rFonts w:ascii="Calibri" w:hAnsi="Calibri"/>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FQ4 2025 (Mar-25)</w:t>
            </w:r>
          </w:p>
        </w:tc>
        <w:tc>
          <w:tcPr>
            <w:tcW w:type="dxa" w:w="1440"/>
          </w:tcPr>
          <w:p>
            <w:r>
              <w:rPr>
                <w:rFonts w:ascii="Calibri" w:hAnsi="Calibri"/>
                <w:sz w:val="22"/>
              </w:rPr>
              <w:t>EPS</w:t>
            </w:r>
          </w:p>
        </w:tc>
        <w:tc>
          <w:tcPr>
            <w:tcW w:type="dxa" w:w="1440"/>
          </w:tcPr>
          <w:p>
            <w:r>
              <w:rPr>
                <w:rFonts w:ascii="Calibri" w:hAnsi="Calibri"/>
                <w:sz w:val="22"/>
              </w:rPr>
              <w:t>$0.59</w:t>
            </w:r>
          </w:p>
        </w:tc>
        <w:tc>
          <w:tcPr>
            <w:tcW w:type="dxa" w:w="1440"/>
          </w:tcPr>
          <w:p>
            <w:r>
              <w:rPr>
                <w:rFonts w:ascii="Calibri" w:hAnsi="Calibri"/>
                <w:sz w:val="22"/>
              </w:rPr>
              <w:t>$0.579</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FQ1 2026 (Jun-25)</w:t>
            </w:r>
          </w:p>
        </w:tc>
        <w:tc>
          <w:tcPr>
            <w:tcW w:type="dxa" w:w="1440"/>
          </w:tcPr>
          <w:p>
            <w:r>
              <w:rPr>
                <w:rFonts w:ascii="Calibri" w:hAnsi="Calibri"/>
                <w:sz w:val="22"/>
              </w:rPr>
              <w:t>Revenue</w:t>
            </w:r>
          </w:p>
        </w:tc>
        <w:tc>
          <w:tcPr>
            <w:tcW w:type="dxa" w:w="1440"/>
          </w:tcPr>
          <w:p>
            <w:r>
              <w:rPr>
                <w:rFonts w:ascii="Calibri" w:hAnsi="Calibri"/>
                <w:sz w:val="22"/>
              </w:rPr>
              <w:t>$1,257M</w:t>
            </w:r>
          </w:p>
        </w:tc>
        <w:tc>
          <w:tcPr>
            <w:tcW w:type="dxa" w:w="1440"/>
          </w:tcPr>
          <w:p>
            <w:r>
              <w:rPr>
                <w:rFonts w:ascii="Calibri" w:hAnsi="Calibri"/>
                <w:sz w:val="22"/>
              </w:rPr>
              <w:t>$1,186M</w:t>
            </w:r>
          </w:p>
        </w:tc>
        <w:tc>
          <w:tcPr>
            <w:tcW w:type="dxa" w:w="1440"/>
          </w:tcPr>
          <w:p>
            <w:r>
              <w:rPr>
                <w:rFonts w:ascii="Calibri" w:hAnsi="Calibri"/>
                <w:sz w:val="22"/>
              </w:rPr>
              <w:t>+6.0%</w:t>
            </w:r>
          </w:p>
        </w:tc>
        <w:tc>
          <w:tcPr>
            <w:tcW w:type="dxa" w:w="1440"/>
          </w:tcPr>
          <w:p>
            <w:r>
              <w:rPr>
                <w:rFonts w:ascii="Calibri" w:hAnsi="Calibri"/>
                <w:b/>
                <w:color w:val="30A46C"/>
                <w:sz w:val="22"/>
              </w:rPr>
              <w:t>Beat</w:t>
            </w:r>
          </w:p>
        </w:tc>
      </w:tr>
      <w:tr>
        <w:tc>
          <w:tcPr>
            <w:tcW w:type="dxa" w:w="1440"/>
          </w:tcPr>
          <w:p>
            <w:r>
              <w:rPr>
                <w:rFonts w:ascii="Calibri" w:hAnsi="Calibri"/>
                <w:sz w:val="22"/>
              </w:rPr>
              <w:t>FQ1 2026 (Jun-25)</w:t>
            </w:r>
          </w:p>
        </w:tc>
        <w:tc>
          <w:tcPr>
            <w:tcW w:type="dxa" w:w="1440"/>
          </w:tcPr>
          <w:p>
            <w:r>
              <w:rPr>
                <w:rFonts w:ascii="Calibri" w:hAnsi="Calibri"/>
                <w:sz w:val="22"/>
              </w:rPr>
              <w:t>EPS</w:t>
            </w:r>
          </w:p>
        </w:tc>
        <w:tc>
          <w:tcPr>
            <w:tcW w:type="dxa" w:w="1440"/>
          </w:tcPr>
          <w:p>
            <w:r>
              <w:rPr>
                <w:rFonts w:ascii="Calibri" w:hAnsi="Calibri"/>
                <w:sz w:val="22"/>
              </w:rPr>
              <w:t>$0.64</w:t>
            </w:r>
          </w:p>
        </w:tc>
        <w:tc>
          <w:tcPr>
            <w:tcW w:type="dxa" w:w="1440"/>
          </w:tcPr>
          <w:p>
            <w:r>
              <w:rPr>
                <w:rFonts w:ascii="Calibri" w:hAnsi="Calibri"/>
                <w:sz w:val="22"/>
              </w:rPr>
              <w:t>$0.595</w:t>
            </w:r>
          </w:p>
        </w:tc>
        <w:tc>
          <w:tcPr>
            <w:tcW w:type="dxa" w:w="1440"/>
          </w:tcPr>
          <w:p>
            <w:r>
              <w:rPr>
                <w:rFonts w:ascii="Calibri" w:hAnsi="Calibri"/>
                <w:sz w:val="22"/>
              </w:rPr>
              <w:t>+7.6%</w:t>
            </w:r>
          </w:p>
        </w:tc>
        <w:tc>
          <w:tcPr>
            <w:tcW w:type="dxa" w:w="1440"/>
          </w:tcPr>
          <w:p>
            <w:r>
              <w:rPr>
                <w:rFonts w:ascii="Calibri" w:hAnsi="Calibri"/>
                <w:b/>
                <w:color w:val="30A46C"/>
                <w:sz w:val="22"/>
              </w:rPr>
              <w:t>Beat</w:t>
            </w:r>
          </w:p>
        </w:tc>
      </w:tr>
      <w:tr>
        <w:tc>
          <w:tcPr>
            <w:tcW w:type="dxa" w:w="1440"/>
          </w:tcPr>
          <w:p>
            <w:r>
              <w:rPr>
                <w:rFonts w:ascii="Calibri" w:hAnsi="Calibri"/>
                <w:sz w:val="22"/>
              </w:rPr>
              <w:t>FQ2 2026 (Sep-25)</w:t>
            </w:r>
          </w:p>
        </w:tc>
        <w:tc>
          <w:tcPr>
            <w:tcW w:type="dxa" w:w="1440"/>
          </w:tcPr>
          <w:p>
            <w:r>
              <w:rPr>
                <w:rFonts w:ascii="Calibri" w:hAnsi="Calibri"/>
                <w:sz w:val="22"/>
              </w:rPr>
              <w:t>Revenue</w:t>
            </w:r>
          </w:p>
        </w:tc>
        <w:tc>
          <w:tcPr>
            <w:tcW w:type="dxa" w:w="1440"/>
          </w:tcPr>
          <w:p>
            <w:r>
              <w:rPr>
                <w:rFonts w:ascii="Calibri" w:hAnsi="Calibri"/>
                <w:sz w:val="22"/>
              </w:rPr>
              <w:t>$1,220M</w:t>
            </w:r>
          </w:p>
        </w:tc>
        <w:tc>
          <w:tcPr>
            <w:tcW w:type="dxa" w:w="1440"/>
          </w:tcPr>
          <w:p>
            <w:r>
              <w:rPr>
                <w:rFonts w:ascii="Calibri" w:hAnsi="Calibri"/>
                <w:sz w:val="22"/>
              </w:rPr>
              <w:t>$1,195M</w:t>
            </w:r>
          </w:p>
        </w:tc>
        <w:tc>
          <w:tcPr>
            <w:tcW w:type="dxa" w:w="1440"/>
          </w:tcPr>
          <w:p>
            <w:r>
              <w:rPr>
                <w:rFonts w:ascii="Calibri" w:hAnsi="Calibri"/>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FQ2 2026 (Sep-25)</w:t>
            </w:r>
          </w:p>
        </w:tc>
        <w:tc>
          <w:tcPr>
            <w:tcW w:type="dxa" w:w="1440"/>
          </w:tcPr>
          <w:p>
            <w:r>
              <w:rPr>
                <w:rFonts w:ascii="Calibri" w:hAnsi="Calibri"/>
                <w:sz w:val="22"/>
              </w:rPr>
              <w:t>EPS</w:t>
            </w:r>
          </w:p>
        </w:tc>
        <w:tc>
          <w:tcPr>
            <w:tcW w:type="dxa" w:w="1440"/>
          </w:tcPr>
          <w:p>
            <w:r>
              <w:rPr>
                <w:rFonts w:ascii="Calibri" w:hAnsi="Calibri"/>
                <w:sz w:val="22"/>
              </w:rPr>
              <w:t>$0.62</w:t>
            </w:r>
          </w:p>
        </w:tc>
        <w:tc>
          <w:tcPr>
            <w:tcW w:type="dxa" w:w="1440"/>
          </w:tcPr>
          <w:p>
            <w:r>
              <w:rPr>
                <w:rFonts w:ascii="Calibri" w:hAnsi="Calibri"/>
                <w:sz w:val="22"/>
              </w:rPr>
              <w:t>$0.611</w:t>
            </w:r>
          </w:p>
        </w:tc>
        <w:tc>
          <w:tcPr>
            <w:tcW w:type="dxa" w:w="1440"/>
          </w:tcPr>
          <w:p>
            <w:r>
              <w:rPr>
                <w:rFonts w:ascii="Calibri" w:hAnsi="Calibri"/>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FQ3 2026 (Dec-25)</w:t>
            </w:r>
          </w:p>
        </w:tc>
        <w:tc>
          <w:tcPr>
            <w:tcW w:type="dxa" w:w="1440"/>
          </w:tcPr>
          <w:p>
            <w:r>
              <w:rPr>
                <w:rFonts w:ascii="Calibri" w:hAnsi="Calibri"/>
                <w:sz w:val="22"/>
              </w:rPr>
              <w:t>Revenue</w:t>
            </w:r>
          </w:p>
        </w:tc>
        <w:tc>
          <w:tcPr>
            <w:tcW w:type="dxa" w:w="1440"/>
          </w:tcPr>
          <w:p>
            <w:r>
              <w:rPr>
                <w:rFonts w:ascii="Calibri" w:hAnsi="Calibri"/>
                <w:sz w:val="22"/>
              </w:rPr>
              <w:t>$1,240M</w:t>
            </w:r>
          </w:p>
        </w:tc>
        <w:tc>
          <w:tcPr>
            <w:tcW w:type="dxa" w:w="1440"/>
          </w:tcPr>
          <w:p>
            <w:r>
              <w:rPr>
                <w:rFonts w:ascii="Calibri" w:hAnsi="Calibri"/>
                <w:sz w:val="22"/>
              </w:rPr>
              <w:t>$1,230M</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FQ3 2026 (Dec-25)</w:t>
            </w:r>
          </w:p>
        </w:tc>
        <w:tc>
          <w:tcPr>
            <w:tcW w:type="dxa" w:w="1440"/>
          </w:tcPr>
          <w:p>
            <w:r>
              <w:rPr>
                <w:rFonts w:ascii="Calibri" w:hAnsi="Calibri"/>
                <w:sz w:val="22"/>
              </w:rPr>
              <w:t>EPS</w:t>
            </w:r>
          </w:p>
        </w:tc>
        <w:tc>
          <w:tcPr>
            <w:tcW w:type="dxa" w:w="1440"/>
          </w:tcPr>
          <w:p>
            <w:r>
              <w:rPr>
                <w:rFonts w:ascii="Calibri" w:hAnsi="Calibri"/>
                <w:sz w:val="22"/>
              </w:rPr>
              <w:t>$0.64</w:t>
            </w:r>
          </w:p>
        </w:tc>
        <w:tc>
          <w:tcPr>
            <w:tcW w:type="dxa" w:w="1440"/>
          </w:tcPr>
          <w:p>
            <w:r>
              <w:rPr>
                <w:rFonts w:ascii="Calibri" w:hAnsi="Calibri"/>
                <w:sz w:val="22"/>
              </w:rPr>
              <w:t>$0.630</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FQ4 2026 (Mar-26)</w:t>
            </w:r>
          </w:p>
        </w:tc>
        <w:tc>
          <w:tcPr>
            <w:tcW w:type="dxa" w:w="1440"/>
          </w:tcPr>
          <w:p>
            <w:r>
              <w:rPr>
                <w:rFonts w:ascii="Calibri" w:hAnsi="Calibri"/>
                <w:sz w:val="22"/>
              </w:rPr>
              <w:t>Revenue</w:t>
            </w:r>
          </w:p>
        </w:tc>
        <w:tc>
          <w:tcPr>
            <w:tcW w:type="dxa" w:w="1440"/>
          </w:tcPr>
          <w:p>
            <w:r>
              <w:rPr>
                <w:rFonts w:ascii="Calibri" w:hAnsi="Calibri"/>
                <w:sz w:val="22"/>
              </w:rPr>
              <w:t>$1,283M</w:t>
            </w:r>
          </w:p>
        </w:tc>
        <w:tc>
          <w:tcPr>
            <w:tcW w:type="dxa" w:w="1440"/>
          </w:tcPr>
          <w:p>
            <w:r>
              <w:rPr>
                <w:rFonts w:ascii="Calibri" w:hAnsi="Calibri"/>
                <w:sz w:val="22"/>
              </w:rPr>
              <w:t>$1,250M</w:t>
            </w:r>
          </w:p>
        </w:tc>
        <w:tc>
          <w:tcPr>
            <w:tcW w:type="dxa" w:w="1440"/>
          </w:tcPr>
          <w:p>
            <w:r>
              <w:rPr>
                <w:rFonts w:ascii="Calibri" w:hAnsi="Calibri"/>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FQ4 2026 (Mar-26)</w:t>
            </w:r>
          </w:p>
        </w:tc>
        <w:tc>
          <w:tcPr>
            <w:tcW w:type="dxa" w:w="1440"/>
          </w:tcPr>
          <w:p>
            <w:r>
              <w:rPr>
                <w:rFonts w:ascii="Calibri" w:hAnsi="Calibri"/>
                <w:sz w:val="22"/>
              </w:rPr>
              <w:t>EPS</w:t>
            </w:r>
          </w:p>
        </w:tc>
        <w:tc>
          <w:tcPr>
            <w:tcW w:type="dxa" w:w="1440"/>
          </w:tcPr>
          <w:p>
            <w:r>
              <w:rPr>
                <w:rFonts w:ascii="Calibri" w:hAnsi="Calibri"/>
                <w:sz w:val="22"/>
              </w:rPr>
              <w:t>$0.67</w:t>
            </w:r>
          </w:p>
        </w:tc>
        <w:tc>
          <w:tcPr>
            <w:tcW w:type="dxa" w:w="1440"/>
          </w:tcPr>
          <w:p>
            <w:r>
              <w:rPr>
                <w:rFonts w:ascii="Calibri" w:hAnsi="Calibri"/>
                <w:sz w:val="22"/>
              </w:rPr>
              <w:t>$0.652</w:t>
            </w:r>
          </w:p>
        </w:tc>
        <w:tc>
          <w:tcPr>
            <w:tcW w:type="dxa" w:w="1440"/>
          </w:tcPr>
          <w:p>
            <w:r>
              <w:rPr>
                <w:rFonts w:ascii="Calibri" w:hAnsi="Calibri"/>
                <w:sz w:val="22"/>
              </w:rPr>
              <w:t>+2.8%</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GEN has beaten consensus on revenue in all 8 of the last 8 quarters and on EPS in 7 of 8, with beats typically in the +1–6% range on revenue and +1–8% on EPS. The consistency of the beat pattern suggests management guides conservatively, and the bar for FQ1 2027 is no different.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materially at the May 7 earnings call — FY27 revenue growth lifted to 8–10% from a prior mid-single-digit midterm target — and there have been </w:t>
      </w:r>
      <w:r>
        <w:rPr>
          <w:rFonts w:ascii="Calibri" w:hAnsi="Calibri"/>
          <w:b/>
          <w:color w:val="525866"/>
          <w:sz w:val="22"/>
        </w:rPr>
        <w:t>no post-earnings revisions or 8-K guidance updates since then</w:t>
      </w:r>
      <w:r>
        <w:rPr>
          <w:rFonts w:ascii="Calibri" w:hAnsi="Calibri"/>
          <w:color w:val="525866"/>
          <w:sz w:val="22"/>
        </w:rPr>
        <w:t>. The restructuring announcement ($50M program) is a cost-side action, not a revenue guidance change, and management's tone remains confident.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7,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FQ1 2027 Revenue</w:t>
            </w:r>
          </w:p>
        </w:tc>
        <w:tc>
          <w:tcPr>
            <w:tcW w:type="dxa" w:w="1728"/>
          </w:tcPr>
          <w:p>
            <w:r>
              <w:rPr>
                <w:rFonts w:ascii="Calibri" w:hAnsi="Calibri"/>
                <w:sz w:val="22"/>
              </w:rPr>
              <w:t>$1,300M – $1,325M (8–10% pro forma growth)</w:t>
            </w:r>
          </w:p>
        </w:tc>
        <w:tc>
          <w:tcPr>
            <w:tcW w:type="dxa" w:w="1728"/>
          </w:tcPr>
          <w:p>
            <w:r>
              <w:rPr>
                <w:rFonts w:ascii="Calibri" w:hAnsi="Calibri"/>
                <w:sz w:val="22"/>
              </w:rPr>
              <w:t>—</w:t>
            </w:r>
          </w:p>
        </w:tc>
        <w:tc>
          <w:tcPr>
            <w:tcW w:type="dxa" w:w="1728"/>
          </w:tcPr>
          <w:p>
            <w:r>
              <w:rPr>
                <w:rFonts w:ascii="Calibri" w:hAnsi="Calibri"/>
                <w:sz w:val="22"/>
              </w:rPr>
              <w:t>$1,314M</w:t>
            </w:r>
          </w:p>
        </w:tc>
        <w:tc>
          <w:tcPr>
            <w:tcW w:type="dxa" w:w="1728"/>
          </w:tcPr>
          <w:p>
            <w:r>
              <w:rPr>
                <w:rFonts w:ascii="Calibri" w:hAnsi="Calibri"/>
                <w:sz w:val="22"/>
              </w:rPr>
              <w:t>No post-earnings update; consensus at low end of range</w:t>
            </w:r>
          </w:p>
        </w:tc>
      </w:tr>
      <w:tr>
        <w:tc>
          <w:tcPr>
            <w:tcW w:type="dxa" w:w="1728"/>
          </w:tcPr>
          <w:p>
            <w:r>
              <w:rPr>
                <w:rFonts w:ascii="Calibri" w:hAnsi="Calibri"/>
                <w:sz w:val="22"/>
              </w:rPr>
              <w:t>FQ1 2027 EPS (Non-GAAP Diluted)</w:t>
            </w:r>
          </w:p>
        </w:tc>
        <w:tc>
          <w:tcPr>
            <w:tcW w:type="dxa" w:w="1728"/>
          </w:tcPr>
          <w:p>
            <w:r>
              <w:rPr>
                <w:rFonts w:ascii="Calibri" w:hAnsi="Calibri"/>
                <w:sz w:val="22"/>
              </w:rPr>
              <w:t>$0.68 – $0.70 (13–17% pro forma growth)</w:t>
            </w:r>
          </w:p>
        </w:tc>
        <w:tc>
          <w:tcPr>
            <w:tcW w:type="dxa" w:w="1728"/>
          </w:tcPr>
          <w:p>
            <w:r>
              <w:rPr>
                <w:rFonts w:ascii="Calibri" w:hAnsi="Calibri"/>
                <w:sz w:val="22"/>
              </w:rPr>
              <w:t>—</w:t>
            </w:r>
          </w:p>
        </w:tc>
        <w:tc>
          <w:tcPr>
            <w:tcW w:type="dxa" w:w="1728"/>
          </w:tcPr>
          <w:p>
            <w:r>
              <w:rPr>
                <w:rFonts w:ascii="Calibri" w:hAnsi="Calibri"/>
                <w:sz w:val="22"/>
              </w:rPr>
              <w:t>$0.690</w:t>
            </w:r>
          </w:p>
        </w:tc>
        <w:tc>
          <w:tcPr>
            <w:tcW w:type="dxa" w:w="1728"/>
          </w:tcPr>
          <w:p>
            <w:r>
              <w:rPr>
                <w:rFonts w:ascii="Calibri" w:hAnsi="Calibri"/>
                <w:sz w:val="22"/>
              </w:rPr>
              <w:t>No post-earnings update; consensus just below midpoint</w:t>
            </w:r>
          </w:p>
        </w:tc>
      </w:tr>
      <w:tr>
        <w:tc>
          <w:tcPr>
            <w:tcW w:type="dxa" w:w="1728"/>
          </w:tcPr>
          <w:p>
            <w:r>
              <w:rPr>
                <w:rFonts w:ascii="Calibri" w:hAnsi="Calibri"/>
                <w:sz w:val="22"/>
              </w:rPr>
              <w:t>FY2027 Revenue</w:t>
            </w:r>
          </w:p>
        </w:tc>
        <w:tc>
          <w:tcPr>
            <w:tcW w:type="dxa" w:w="1728"/>
          </w:tcPr>
          <w:p>
            <w:r>
              <w:rPr>
                <w:rFonts w:ascii="Calibri" w:hAnsi="Calibri"/>
                <w:sz w:val="22"/>
              </w:rPr>
              <w:t>$5,325M – $5,425M (8–10% pro forma growth)</w:t>
            </w:r>
          </w:p>
        </w:tc>
        <w:tc>
          <w:tcPr>
            <w:tcW w:type="dxa" w:w="1728"/>
          </w:tcPr>
          <w:p>
            <w:r>
              <w:rPr>
                <w:rFonts w:ascii="Calibri" w:hAnsi="Calibri"/>
                <w:sz w:val="22"/>
              </w:rPr>
              <w:t>—</w:t>
            </w:r>
          </w:p>
        </w:tc>
        <w:tc>
          <w:tcPr>
            <w:tcW w:type="dxa" w:w="1728"/>
          </w:tcPr>
          <w:p>
            <w:r>
              <w:rPr>
                <w:rFonts w:ascii="Calibri" w:hAnsi="Calibri"/>
                <w:sz w:val="22"/>
              </w:rPr>
              <w:t>$5,378M</w:t>
            </w:r>
          </w:p>
        </w:tc>
        <w:tc>
          <w:tcPr>
            <w:tcW w:type="dxa" w:w="1728"/>
          </w:tcPr>
          <w:p>
            <w:r>
              <w:rPr>
                <w:rFonts w:ascii="Calibri" w:hAnsi="Calibri"/>
                <w:sz w:val="22"/>
              </w:rPr>
              <w:t>No post-earnings update; consensus near low end; raised from prior mid-single-digit midterm target at Investor Day 2023</w:t>
            </w:r>
          </w:p>
        </w:tc>
      </w:tr>
      <w:tr>
        <w:tc>
          <w:tcPr>
            <w:tcW w:type="dxa" w:w="1728"/>
          </w:tcPr>
          <w:p>
            <w:r>
              <w:rPr>
                <w:rFonts w:ascii="Calibri" w:hAnsi="Calibri"/>
                <w:sz w:val="22"/>
              </w:rPr>
              <w:t>FY2027 EPS (Non-GAAP Diluted)</w:t>
            </w:r>
          </w:p>
        </w:tc>
        <w:tc>
          <w:tcPr>
            <w:tcW w:type="dxa" w:w="1728"/>
          </w:tcPr>
          <w:p>
            <w:r>
              <w:rPr>
                <w:rFonts w:ascii="Calibri" w:hAnsi="Calibri"/>
                <w:sz w:val="22"/>
              </w:rPr>
              <w:t>$2.85 – $2.95 (13–17% pro forma growth)</w:t>
            </w:r>
          </w:p>
        </w:tc>
        <w:tc>
          <w:tcPr>
            <w:tcW w:type="dxa" w:w="1728"/>
          </w:tcPr>
          <w:p>
            <w:r>
              <w:rPr>
                <w:rFonts w:ascii="Calibri" w:hAnsi="Calibri"/>
                <w:sz w:val="22"/>
              </w:rPr>
              <w:t>—</w:t>
            </w:r>
          </w:p>
        </w:tc>
        <w:tc>
          <w:tcPr>
            <w:tcW w:type="dxa" w:w="1728"/>
          </w:tcPr>
          <w:p>
            <w:r>
              <w:rPr>
                <w:rFonts w:ascii="Calibri" w:hAnsi="Calibri"/>
                <w:sz w:val="22"/>
              </w:rPr>
              <w:t>$2.893</w:t>
            </w:r>
          </w:p>
        </w:tc>
        <w:tc>
          <w:tcPr>
            <w:tcW w:type="dxa" w:w="1728"/>
          </w:tcPr>
          <w:p>
            <w:r>
              <w:rPr>
                <w:rFonts w:ascii="Calibri" w:hAnsi="Calibri"/>
                <w:sz w:val="22"/>
              </w:rPr>
              <w:t>No post-earnings update; consensus at low end of range</w:t>
            </w:r>
          </w:p>
        </w:tc>
      </w:tr>
      <w:tr>
        <w:tc>
          <w:tcPr>
            <w:tcW w:type="dxa" w:w="1728"/>
          </w:tcPr>
          <w:p>
            <w:r>
              <w:rPr>
                <w:rFonts w:ascii="Calibri" w:hAnsi="Calibri"/>
                <w:sz w:val="22"/>
              </w:rPr>
              <w:t>Restructuring Charge (FY2027)</w:t>
            </w:r>
          </w:p>
        </w:tc>
        <w:tc>
          <w:tcPr>
            <w:tcW w:type="dxa" w:w="1728"/>
          </w:tcPr>
          <w:p>
            <w:r>
              <w:rPr>
                <w:rFonts w:ascii="Calibri" w:hAnsi="Calibri"/>
                <w:sz w:val="22"/>
              </w:rPr>
              <w:t>~$50M (AI adoption / operational streamlining)</w:t>
            </w:r>
          </w:p>
        </w:tc>
        <w:tc>
          <w:tcPr>
            <w:tcW w:type="dxa" w:w="1728"/>
          </w:tcPr>
          <w:p>
            <w:r>
              <w:rPr>
                <w:rFonts w:ascii="Calibri" w:hAnsi="Calibri"/>
                <w:sz w:val="22"/>
              </w:rPr>
              <w:t>—</w:t>
            </w:r>
          </w:p>
        </w:tc>
        <w:tc>
          <w:tcPr>
            <w:tcW w:type="dxa" w:w="1728"/>
          </w:tcPr>
          <w:p>
            <w:r>
              <w:rPr>
                <w:rFonts w:ascii="Calibri" w:hAnsi="Calibri"/>
                <w:sz w:val="22"/>
              </w:rPr>
              <w:t>N/A (non-GAAP excluded)</w:t>
            </w:r>
          </w:p>
        </w:tc>
        <w:tc>
          <w:tcPr>
            <w:tcW w:type="dxa" w:w="1728"/>
          </w:tcPr>
          <w:p>
            <w:r>
              <w:rPr>
                <w:rFonts w:ascii="Calibri" w:hAnsi="Calibri"/>
                <w:sz w:val="22"/>
              </w:rPr>
              <w:t>Announced via 8-K May 7, 2026; cost-side action only; charges expected over next 12 months</w:t>
            </w:r>
          </w:p>
        </w:tc>
      </w:tr>
    </w:tbl>
    <w:p>
      <w:r>
        <w:rPr>
          <w:rFonts w:ascii="Calibri" w:hAnsi="Calibri"/>
          <w:i/>
          <w:color w:val="525866"/>
          <w:sz w:val="22"/>
        </w:rPr>
        <w:t>Sources: Gen Digital FQ4 2026 Earnings Release and Earnings Call Transcript (May 7, 2026); Gen Digital 8-K (May 7,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unchanged since the post-print baseline (5 trading days after May 7), confirming the Street has fully absorbed the raised guidance without adding incremental cushion. </w:t>
      </w:r>
      <w:r>
        <w:rPr>
          <w:rFonts w:ascii="Calibri" w:hAnsi="Calibri"/>
          <w:b/>
          <w:color w:val="525866"/>
          <w:sz w:val="22"/>
        </w:rPr>
        <w:t>The gap between consensus and the guidance midpoint is narrow and slightly below on both revenue and EPS</w:t>
      </w:r>
      <w:r>
        <w:rPr>
          <w:rFonts w:ascii="Calibri" w:hAnsi="Calibri"/>
          <w:color w:val="525866"/>
          <w:sz w:val="22"/>
        </w:rPr>
        <w:t xml:space="preserve"> — this is a cushion, not a risk, given GEN's consistent history of beating the low end of its own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Last Earnings (c.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 (%)</w:t>
            </w:r>
          </w:p>
        </w:tc>
      </w:tr>
      <w:tr>
        <w:tc>
          <w:tcPr>
            <w:tcW w:type="dxa" w:w="1080"/>
          </w:tcPr>
          <w:p>
            <w:r>
              <w:rPr>
                <w:rFonts w:ascii="Calibri" w:hAnsi="Calibri"/>
                <w:sz w:val="22"/>
              </w:rPr>
              <w:t>Net Revenue — FQ1 2027</w:t>
            </w:r>
          </w:p>
        </w:tc>
        <w:tc>
          <w:tcPr>
            <w:tcW w:type="dxa" w:w="1080"/>
          </w:tcPr>
          <w:p>
            <w:r>
              <w:rPr>
                <w:rFonts w:ascii="Calibri" w:hAnsi="Calibri"/>
                <w:sz w:val="22"/>
              </w:rPr>
              <w:t>$1,314M</w:t>
            </w:r>
          </w:p>
        </w:tc>
        <w:tc>
          <w:tcPr>
            <w:tcW w:type="dxa" w:w="1080"/>
          </w:tcPr>
          <w:p>
            <w:r>
              <w:rPr>
                <w:rFonts w:ascii="Calibri" w:hAnsi="Calibri"/>
                <w:sz w:val="22"/>
              </w:rPr>
              <w:t>$1,314M</w:t>
            </w:r>
          </w:p>
        </w:tc>
        <w:tc>
          <w:tcPr>
            <w:tcW w:type="dxa" w:w="1080"/>
          </w:tcPr>
          <w:p>
            <w:r>
              <w:rPr>
                <w:rFonts w:ascii="Calibri" w:hAnsi="Calibri"/>
                <w:sz w:val="22"/>
              </w:rPr>
              <w:t>0.0%</w:t>
            </w:r>
          </w:p>
        </w:tc>
        <w:tc>
          <w:tcPr>
            <w:tcW w:type="dxa" w:w="1080"/>
          </w:tcPr>
          <w:p>
            <w:r>
              <w:rPr>
                <w:rFonts w:ascii="Calibri" w:hAnsi="Calibri"/>
                <w:sz w:val="22"/>
              </w:rPr>
              <w:t>$1,300M – $1,325M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EPS (Diluted, Operating) — FQ1 2027</w:t>
            </w:r>
          </w:p>
        </w:tc>
        <w:tc>
          <w:tcPr>
            <w:tcW w:type="dxa" w:w="1080"/>
          </w:tcPr>
          <w:p>
            <w:r>
              <w:rPr>
                <w:rFonts w:ascii="Calibri" w:hAnsi="Calibri"/>
                <w:sz w:val="22"/>
              </w:rPr>
              <w:t>$0.690</w:t>
            </w:r>
          </w:p>
        </w:tc>
        <w:tc>
          <w:tcPr>
            <w:tcW w:type="dxa" w:w="1080"/>
          </w:tcPr>
          <w:p>
            <w:r>
              <w:rPr>
                <w:rFonts w:ascii="Calibri" w:hAnsi="Calibri"/>
                <w:sz w:val="22"/>
              </w:rPr>
              <w:t>$0.690</w:t>
            </w:r>
          </w:p>
        </w:tc>
        <w:tc>
          <w:tcPr>
            <w:tcW w:type="dxa" w:w="1080"/>
          </w:tcPr>
          <w:p>
            <w:r>
              <w:rPr>
                <w:rFonts w:ascii="Calibri" w:hAnsi="Calibri"/>
                <w:sz w:val="22"/>
              </w:rPr>
              <w:t>0.0%</w:t>
            </w:r>
          </w:p>
        </w:tc>
        <w:tc>
          <w:tcPr>
            <w:tcW w:type="dxa" w:w="1080"/>
          </w:tcPr>
          <w:p>
            <w:r>
              <w:rPr>
                <w:rFonts w:ascii="Calibri" w:hAnsi="Calibri"/>
                <w:sz w:val="22"/>
              </w:rPr>
              <w:t>$0.68 – $0.70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w:t>
            </w:r>
          </w:p>
        </w:tc>
      </w:tr>
      <w:tr>
        <w:tc>
          <w:tcPr>
            <w:tcW w:type="dxa" w:w="1080"/>
          </w:tcPr>
          <w:p>
            <w:r>
              <w:rPr>
                <w:rFonts w:ascii="Calibri" w:hAnsi="Calibri"/>
                <w:sz w:val="22"/>
              </w:rPr>
              <w:t>Net Revenue — FY2027</w:t>
            </w:r>
          </w:p>
        </w:tc>
        <w:tc>
          <w:tcPr>
            <w:tcW w:type="dxa" w:w="1080"/>
          </w:tcPr>
          <w:p>
            <w:r>
              <w:rPr>
                <w:rFonts w:ascii="Calibri" w:hAnsi="Calibri"/>
                <w:sz w:val="22"/>
              </w:rPr>
              <w:t>$5,378M</w:t>
            </w:r>
          </w:p>
        </w:tc>
        <w:tc>
          <w:tcPr>
            <w:tcW w:type="dxa" w:w="1080"/>
          </w:tcPr>
          <w:p>
            <w:r>
              <w:rPr>
                <w:rFonts w:ascii="Calibri" w:hAnsi="Calibri"/>
                <w:sz w:val="22"/>
              </w:rPr>
              <w:t>$5,378M</w:t>
            </w:r>
          </w:p>
        </w:tc>
        <w:tc>
          <w:tcPr>
            <w:tcW w:type="dxa" w:w="1080"/>
          </w:tcPr>
          <w:p>
            <w:r>
              <w:rPr>
                <w:rFonts w:ascii="Calibri" w:hAnsi="Calibri"/>
                <w:sz w:val="22"/>
              </w:rPr>
              <w:t>0.0%</w:t>
            </w:r>
          </w:p>
        </w:tc>
        <w:tc>
          <w:tcPr>
            <w:tcW w:type="dxa" w:w="1080"/>
          </w:tcPr>
          <w:p>
            <w:r>
              <w:rPr>
                <w:rFonts w:ascii="Calibri" w:hAnsi="Calibri"/>
                <w:sz w:val="22"/>
              </w:rPr>
              <w:t>$5,325M – $5,425M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w:t>
            </w:r>
          </w:p>
        </w:tc>
      </w:tr>
      <w:tr>
        <w:tc>
          <w:tcPr>
            <w:tcW w:type="dxa" w:w="1080"/>
          </w:tcPr>
          <w:p>
            <w:r>
              <w:rPr>
                <w:rFonts w:ascii="Calibri" w:hAnsi="Calibri"/>
                <w:sz w:val="22"/>
              </w:rPr>
              <w:t>EPS (Diluted, Operating) — FY2027</w:t>
            </w:r>
          </w:p>
        </w:tc>
        <w:tc>
          <w:tcPr>
            <w:tcW w:type="dxa" w:w="1080"/>
          </w:tcPr>
          <w:p>
            <w:r>
              <w:rPr>
                <w:rFonts w:ascii="Calibri" w:hAnsi="Calibri"/>
                <w:sz w:val="22"/>
              </w:rPr>
              <w:t>$2.893</w:t>
            </w:r>
          </w:p>
        </w:tc>
        <w:tc>
          <w:tcPr>
            <w:tcW w:type="dxa" w:w="1080"/>
          </w:tcPr>
          <w:p>
            <w:r>
              <w:rPr>
                <w:rFonts w:ascii="Calibri" w:hAnsi="Calibri"/>
                <w:sz w:val="22"/>
              </w:rPr>
              <w:t>$2.893</w:t>
            </w:r>
          </w:p>
        </w:tc>
        <w:tc>
          <w:tcPr>
            <w:tcW w:type="dxa" w:w="1080"/>
          </w:tcPr>
          <w:p>
            <w:r>
              <w:rPr>
                <w:rFonts w:ascii="Calibri" w:hAnsi="Calibri"/>
                <w:sz w:val="22"/>
              </w:rPr>
              <w:t>0.0%</w:t>
            </w:r>
          </w:p>
        </w:tc>
        <w:tc>
          <w:tcPr>
            <w:tcW w:type="dxa" w:w="1080"/>
          </w:tcPr>
          <w:p>
            <w:r>
              <w:rPr>
                <w:rFonts w:ascii="Calibri" w:hAnsi="Calibri"/>
                <w:sz w:val="22"/>
              </w:rPr>
              <w:t>$2.85 – $2.95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w:t>
            </w:r>
          </w:p>
        </w:tc>
      </w:tr>
    </w:tbl>
    <w:p>
      <w:r>
        <w:rPr>
          <w:rFonts w:ascii="Calibri" w:hAnsi="Calibri"/>
          <w:color w:val="525866"/>
          <w:sz w:val="22"/>
        </w:rPr>
        <w:t>Estimates have been flat since the post-print baseline, tracking guidance closely. The slight below-midpoint positioning on both revenue and EPS is consistent with GEN's historical pattern of conservative guidance, and represents a cushion rather than a risk heading into the print.</w:t>
      </w:r>
    </w:p>
    <w:p>
      <w:r>
        <w:rPr>
          <w:rFonts w:ascii="Calibri" w:hAnsi="Calibri"/>
          <w:i/>
          <w:color w:val="525866"/>
          <w:sz w:val="22"/>
        </w:rPr>
        <w:t>Source: Visible Alpha Consensus and Actuals Data; Gen Digital FQ4 2026 Earnings Call Transcript (May 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GEN has rallied ~38% since the May 7 earnings print (from $20.19 to ~$27.95 as of Aug 6), </w:t>
      </w:r>
      <w:r>
        <w:rPr>
          <w:rFonts w:ascii="Calibri" w:hAnsi="Calibri"/>
          <w:b/>
          <w:color w:val="525866"/>
          <w:sz w:val="22"/>
        </w:rPr>
        <w:t>significantly outperforming both the cybersecurity ETF (HACK, +35%) and the S&amp;P 500 (+5%)</w:t>
      </w:r>
      <w:r>
        <w:rPr>
          <w:rFonts w:ascii="Calibri" w:hAnsi="Calibri"/>
          <w:color w:val="525866"/>
          <w:sz w:val="22"/>
        </w:rPr>
        <w:t xml:space="preserve"> over the same period. The move has been almost entirely multiple-driven — NTM EV/EBITDA expanded from ~6.5x to ~8.1x over the past 3 months — as the market re-rated the stock on the raised FY27 growth outlook, though the multiple remains well below historical averages, suggesting further re-rating potential if execution continues.</w:t>
      </w:r>
    </w:p>
    <w:p>
      <w:r>
        <w:rPr>
          <w:rFonts w:ascii="Calibri" w:hAnsi="Calibri"/>
          <w:b/>
          <w:color w:val="525866"/>
          <w:sz w:val="22"/>
        </w:rPr>
        <w:t xml:space="preserve">Sector ETF used: </w:t>
      </w:r>
      <w:r>
        <w:rPr>
          <w:rFonts w:ascii="Calibri" w:hAnsi="Calibri"/>
          <w:color w:val="525866"/>
          <w:sz w:val="22"/>
        </w:rPr>
        <w:t>HACK (ETFMG Prime Cyber Security ETF) — appropriate for GEN's cybersecurity sub-sector. Note that GEN's financial wellness segment (MoneyLion/Engine) is not captured by HACK, which may cause GEN to diverge from the ETF as the financial wellness mix grows.</w:t>
      </w:r>
    </w:p>
    <w:p>
      <w:r>
        <w:rPr>
          <w:rFonts w:ascii="Calibri" w:hAnsi="Calibri"/>
          <w:b/>
          <w:color w:val="525866"/>
          <w:sz w:val="22"/>
        </w:rPr>
        <w:t>Chart: GEN vs. HACK vs. S&amp;P 500 — Indexed to 100 at May 7,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GEN (Indexed)</w:t>
            </w:r>
          </w:p>
        </w:tc>
        <w:tc>
          <w:tcPr>
            <w:tcW w:type="dxa" w:w="2160"/>
            <w:shd w:val="clear" w:color="auto" w:fill="3B4259"/>
          </w:tcPr>
          <w:p>
            <w:r>
              <w:rPr>
                <w:rFonts w:ascii="Calibri" w:hAnsi="Calibri"/>
                <w:b/>
                <w:color w:val="FFFFFF"/>
                <w:sz w:val="22"/>
              </w:rPr>
              <w:t>HACK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127.8</w:t>
            </w:r>
          </w:p>
        </w:tc>
        <w:tc>
          <w:tcPr>
            <w:tcW w:type="dxa" w:w="2160"/>
          </w:tcPr>
          <w:p>
            <w:r>
              <w:rPr>
                <w:rFonts w:ascii="Calibri" w:hAnsi="Calibri"/>
                <w:sz w:val="22"/>
              </w:rPr>
              <w:t>117.3</w:t>
            </w:r>
          </w:p>
        </w:tc>
        <w:tc>
          <w:tcPr>
            <w:tcW w:type="dxa" w:w="2160"/>
          </w:tcPr>
          <w:p>
            <w:r>
              <w:rPr>
                <w:rFonts w:ascii="Calibri" w:hAnsi="Calibri"/>
                <w:sz w:val="22"/>
              </w:rPr>
              <w:t>103.4</w:t>
            </w:r>
          </w:p>
        </w:tc>
      </w:tr>
      <w:tr>
        <w:tc>
          <w:tcPr>
            <w:tcW w:type="dxa" w:w="2160"/>
          </w:tcPr>
          <w:p>
            <w:r>
              <w:rPr>
                <w:rFonts w:ascii="Calibri" w:hAnsi="Calibri"/>
                <w:sz w:val="22"/>
              </w:rPr>
              <w:t>Jun 1, 2026 (Peak)</w:t>
            </w:r>
          </w:p>
        </w:tc>
        <w:tc>
          <w:tcPr>
            <w:tcW w:type="dxa" w:w="2160"/>
          </w:tcPr>
          <w:p>
            <w:r>
              <w:rPr>
                <w:rFonts w:ascii="Calibri" w:hAnsi="Calibri"/>
                <w:sz w:val="22"/>
              </w:rPr>
              <w:t>137.5</w:t>
            </w:r>
          </w:p>
        </w:tc>
        <w:tc>
          <w:tcPr>
            <w:tcW w:type="dxa" w:w="2160"/>
          </w:tcPr>
          <w:p>
            <w:r>
              <w:rPr>
                <w:rFonts w:ascii="Calibri" w:hAnsi="Calibri"/>
                <w:sz w:val="22"/>
              </w:rPr>
              <w:t>123.9</w:t>
            </w:r>
          </w:p>
        </w:tc>
        <w:tc>
          <w:tcPr>
            <w:tcW w:type="dxa" w:w="2160"/>
          </w:tcPr>
          <w:p>
            <w:r>
              <w:rPr>
                <w:rFonts w:ascii="Calibri" w:hAnsi="Calibri"/>
                <w:sz w:val="22"/>
              </w:rPr>
              <w:t>103.7</w:t>
            </w:r>
          </w:p>
        </w:tc>
      </w:tr>
      <w:tr>
        <w:tc>
          <w:tcPr>
            <w:tcW w:type="dxa" w:w="2160"/>
          </w:tcPr>
          <w:p>
            <w:r>
              <w:rPr>
                <w:rFonts w:ascii="Calibri" w:hAnsi="Calibri"/>
                <w:sz w:val="22"/>
              </w:rPr>
              <w:t>Jun 30, 2026</w:t>
            </w:r>
          </w:p>
        </w:tc>
        <w:tc>
          <w:tcPr>
            <w:tcW w:type="dxa" w:w="2160"/>
          </w:tcPr>
          <w:p>
            <w:r>
              <w:rPr>
                <w:rFonts w:ascii="Calibri" w:hAnsi="Calibri"/>
                <w:sz w:val="22"/>
              </w:rPr>
              <w:t>123.3</w:t>
            </w:r>
          </w:p>
        </w:tc>
        <w:tc>
          <w:tcPr>
            <w:tcW w:type="dxa" w:w="2160"/>
          </w:tcPr>
          <w:p>
            <w:r>
              <w:rPr>
                <w:rFonts w:ascii="Calibri" w:hAnsi="Calibri"/>
                <w:sz w:val="22"/>
              </w:rPr>
              <w:t>123.9</w:t>
            </w:r>
          </w:p>
        </w:tc>
        <w:tc>
          <w:tcPr>
            <w:tcW w:type="dxa" w:w="2160"/>
          </w:tcPr>
          <w:p>
            <w:r>
              <w:rPr>
                <w:rFonts w:ascii="Calibri" w:hAnsi="Calibri"/>
                <w:sz w:val="22"/>
              </w:rPr>
              <w:t>102.1</w:t>
            </w:r>
          </w:p>
        </w:tc>
      </w:tr>
      <w:tr>
        <w:tc>
          <w:tcPr>
            <w:tcW w:type="dxa" w:w="2160"/>
          </w:tcPr>
          <w:p>
            <w:r>
              <w:rPr>
                <w:rFonts w:ascii="Calibri" w:hAnsi="Calibri"/>
                <w:sz w:val="22"/>
              </w:rPr>
              <w:t>Jul 14, 2026</w:t>
            </w:r>
          </w:p>
        </w:tc>
        <w:tc>
          <w:tcPr>
            <w:tcW w:type="dxa" w:w="2160"/>
          </w:tcPr>
          <w:p>
            <w:r>
              <w:rPr>
                <w:rFonts w:ascii="Calibri" w:hAnsi="Calibri"/>
                <w:sz w:val="22"/>
              </w:rPr>
              <w:t>131.6</w:t>
            </w:r>
          </w:p>
        </w:tc>
        <w:tc>
          <w:tcPr>
            <w:tcW w:type="dxa" w:w="2160"/>
          </w:tcPr>
          <w:p>
            <w:r>
              <w:rPr>
                <w:rFonts w:ascii="Calibri" w:hAnsi="Calibri"/>
                <w:sz w:val="22"/>
              </w:rPr>
              <w:t>134.9</w:t>
            </w:r>
          </w:p>
        </w:tc>
        <w:tc>
          <w:tcPr>
            <w:tcW w:type="dxa" w:w="2160"/>
          </w:tcPr>
          <w:p>
            <w:r>
              <w:rPr>
                <w:rFonts w:ascii="Calibri" w:hAnsi="Calibri"/>
                <w:sz w:val="22"/>
              </w:rPr>
              <w:t>102.8</w:t>
            </w:r>
          </w:p>
        </w:tc>
      </w:tr>
      <w:tr>
        <w:tc>
          <w:tcPr>
            <w:tcW w:type="dxa" w:w="2160"/>
          </w:tcPr>
          <w:p>
            <w:r>
              <w:rPr>
                <w:rFonts w:ascii="Calibri" w:hAnsi="Calibri"/>
                <w:sz w:val="22"/>
              </w:rPr>
              <w:t>Jul 31, 2026</w:t>
            </w:r>
          </w:p>
        </w:tc>
        <w:tc>
          <w:tcPr>
            <w:tcW w:type="dxa" w:w="2160"/>
          </w:tcPr>
          <w:p>
            <w:r>
              <w:rPr>
                <w:rFonts w:ascii="Calibri" w:hAnsi="Calibri"/>
                <w:sz w:val="22"/>
              </w:rPr>
              <w:t>136.0</w:t>
            </w:r>
          </w:p>
        </w:tc>
        <w:tc>
          <w:tcPr>
            <w:tcW w:type="dxa" w:w="2160"/>
          </w:tcPr>
          <w:p>
            <w:r>
              <w:rPr>
                <w:rFonts w:ascii="Calibri" w:hAnsi="Calibri"/>
                <w:sz w:val="22"/>
              </w:rPr>
              <w:t>126.1</w:t>
            </w:r>
          </w:p>
        </w:tc>
        <w:tc>
          <w:tcPr>
            <w:tcW w:type="dxa" w:w="2160"/>
          </w:tcPr>
          <w:p>
            <w:r>
              <w:rPr>
                <w:rFonts w:ascii="Calibri" w:hAnsi="Calibri"/>
                <w:sz w:val="22"/>
              </w:rPr>
              <w:t>102.1</w:t>
            </w:r>
          </w:p>
        </w:tc>
      </w:tr>
      <w:tr>
        <w:tc>
          <w:tcPr>
            <w:tcW w:type="dxa" w:w="2160"/>
          </w:tcPr>
          <w:p>
            <w:r>
              <w:rPr>
                <w:rFonts w:ascii="Calibri" w:hAnsi="Calibri"/>
                <w:sz w:val="22"/>
              </w:rPr>
              <w:t>Aug 6, 2026 (Pre-Earnings)</w:t>
            </w:r>
          </w:p>
        </w:tc>
        <w:tc>
          <w:tcPr>
            <w:tcW w:type="dxa" w:w="2160"/>
          </w:tcPr>
          <w:p>
            <w:r>
              <w:rPr>
                <w:rFonts w:ascii="Calibri" w:hAnsi="Calibri"/>
                <w:sz w:val="22"/>
              </w:rPr>
              <w:t>138.4</w:t>
            </w:r>
          </w:p>
        </w:tc>
        <w:tc>
          <w:tcPr>
            <w:tcW w:type="dxa" w:w="2160"/>
          </w:tcPr>
          <w:p>
            <w:r>
              <w:rPr>
                <w:rFonts w:ascii="Calibri" w:hAnsi="Calibri"/>
                <w:sz w:val="22"/>
              </w:rPr>
              <w:t>135.3</w:t>
            </w:r>
          </w:p>
        </w:tc>
        <w:tc>
          <w:tcPr>
            <w:tcW w:type="dxa" w:w="2160"/>
          </w:tcPr>
          <w:p>
            <w:r>
              <w:rPr>
                <w:rFonts w:ascii="Calibri" w:hAnsi="Calibri"/>
                <w:sz w:val="22"/>
              </w:rPr>
              <w:t>105.2</w:t>
            </w:r>
          </w:p>
        </w:tc>
      </w:tr>
    </w:tbl>
    <w:p>
      <w:r>
        <w:rPr>
          <w:rFonts w:ascii="Calibri" w:hAnsi="Calibri"/>
          <w:b/>
          <w:color w:val="525866"/>
          <w:sz w:val="22"/>
        </w:rPr>
        <w:t>Key Events Since May 7, 2026:</w:t>
      </w:r>
    </w:p>
    <w:p>
      <w:pPr>
        <w:pStyle w:val="ListBullet"/>
        <w:ind w:left="360" w:hanging="360"/>
      </w:pPr>
      <w:r>
        <w:rPr>
          <w:rFonts w:ascii="Calibri" w:hAnsi="Calibri"/>
          <w:b/>
          <w:color w:val="525866"/>
          <w:sz w:val="22"/>
        </w:rPr>
        <w:t>May 7, 2026:</w:t>
      </w:r>
      <w:r>
        <w:rPr>
          <w:rFonts w:ascii="Calibri" w:hAnsi="Calibri"/>
          <w:color w:val="525866"/>
          <w:sz w:val="22"/>
        </w:rPr>
        <w:t xml:space="preserve"> FQ4 2026 earnings beat + FY27 guidance raised to 8–10% revenue growth; stock gapped up ~12% the following session.</w:t>
      </w:r>
    </w:p>
    <w:p>
      <w:pPr>
        <w:pStyle w:val="ListBullet"/>
        <w:ind w:left="360" w:hanging="360"/>
      </w:pPr>
      <w:r>
        <w:rPr>
          <w:rFonts w:ascii="Calibri" w:hAnsi="Calibri"/>
          <w:b/>
          <w:color w:val="525866"/>
          <w:sz w:val="22"/>
        </w:rPr>
        <w:t>May 7, 2026:</w:t>
      </w:r>
      <w:r>
        <w:rPr>
          <w:rFonts w:ascii="Calibri" w:hAnsi="Calibri"/>
          <w:color w:val="525866"/>
          <w:sz w:val="22"/>
        </w:rPr>
        <w:t xml:space="preserve"> $50M restructuring program announced via 8-K (AI adoption / operational streamlining); non-GAAP excluded.</w:t>
      </w:r>
    </w:p>
    <w:p>
      <w:pPr>
        <w:pStyle w:val="ListBullet"/>
        <w:ind w:left="360" w:hanging="360"/>
      </w:pPr>
      <w:r>
        <w:rPr>
          <w:rFonts w:ascii="Calibri" w:hAnsi="Calibri"/>
          <w:b/>
          <w:color w:val="525866"/>
          <w:sz w:val="22"/>
        </w:rPr>
        <w:t>Jun 1, 2026:</w:t>
      </w:r>
      <w:r>
        <w:rPr>
          <w:rFonts w:ascii="Calibri" w:hAnsi="Calibri"/>
          <w:color w:val="525866"/>
          <w:sz w:val="22"/>
        </w:rPr>
        <w:t xml:space="preserve"> Stock reached post-earnings peak of ~$27.76 (+37.5% from earnings day close).</w:t>
      </w:r>
    </w:p>
    <w:p>
      <w:pPr>
        <w:pStyle w:val="ListBullet"/>
        <w:ind w:left="360" w:hanging="360"/>
      </w:pPr>
      <w:r>
        <w:rPr>
          <w:rFonts w:ascii="Calibri" w:hAnsi="Calibri"/>
          <w:b/>
          <w:color w:val="525866"/>
          <w:sz w:val="22"/>
        </w:rPr>
        <w:t>Jun 10–22, 2026:</w:t>
      </w:r>
      <w:r>
        <w:rPr>
          <w:rFonts w:ascii="Calibri" w:hAnsi="Calibri"/>
          <w:color w:val="525866"/>
          <w:sz w:val="22"/>
        </w:rPr>
        <w:t xml:space="preserve"> Pullback to ~$23–24 range, broadly in line with cybersecurity sector softness.</w:t>
      </w:r>
    </w:p>
    <w:p>
      <w:pPr>
        <w:pStyle w:val="ListBullet"/>
        <w:ind w:left="360" w:hanging="360"/>
      </w:pPr>
      <w:r>
        <w:rPr>
          <w:rFonts w:ascii="Calibri" w:hAnsi="Calibri"/>
          <w:b/>
          <w:color w:val="525866"/>
          <w:sz w:val="22"/>
        </w:rPr>
        <w:t>Jul 14, 2026:</w:t>
      </w:r>
      <w:r>
        <w:rPr>
          <w:rFonts w:ascii="Calibri" w:hAnsi="Calibri"/>
          <w:color w:val="525866"/>
          <w:sz w:val="22"/>
        </w:rPr>
        <w:t xml:space="preserve"> IBM Q2 earnings warning on cybersecurity spending drove a sector-wide rally; HACK +5% on the day, GEN +1.5%.</w:t>
      </w:r>
    </w:p>
    <w:p>
      <w:pPr>
        <w:pStyle w:val="ListBullet"/>
        <w:ind w:left="360" w:hanging="360"/>
      </w:pPr>
      <w:r>
        <w:rPr>
          <w:rFonts w:ascii="Calibri" w:hAnsi="Calibri"/>
          <w:b/>
          <w:color w:val="525866"/>
          <w:sz w:val="22"/>
        </w:rPr>
        <w:t>Aug 3–4, 2026:</w:t>
      </w:r>
      <w:r>
        <w:rPr>
          <w:rFonts w:ascii="Calibri" w:hAnsi="Calibri"/>
          <w:color w:val="525866"/>
          <w:sz w:val="22"/>
        </w:rPr>
        <w:t xml:space="preserve"> Stock re-accelerated to ~$28 ahead of the Aug 6 print, approaching the post-earnings high.</w:t>
      </w:r>
    </w:p>
    <w:p>
      <w:r>
        <w:rPr>
          <w:rFonts w:ascii="Calibri" w:hAnsi="Calibri"/>
          <w:i/>
          <w:color w:val="525866"/>
          <w:sz w:val="22"/>
        </w:rPr>
        <w:t>Source: Stock Price Data (Yahoo Finance); Gen Digital press releases and 8-K filings.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May 7 print is the </w:t>
      </w:r>
      <w:r>
        <w:rPr>
          <w:rFonts w:ascii="Calibri" w:hAnsi="Calibri"/>
          <w:b/>
          <w:color w:val="525866"/>
          <w:sz w:val="22"/>
        </w:rPr>
        <w:t>IBM Q2 earnings warning on cybersecurity spending (July 14)</w:t>
      </w:r>
      <w:r>
        <w:rPr>
          <w:rFonts w:ascii="Calibri" w:hAnsi="Calibri"/>
          <w:color w:val="525866"/>
          <w:sz w:val="22"/>
        </w:rPr>
        <w:t>, which triggered a sector-wide rally and reinforced the demand tailwind for GEN's core cyber safety business. Separately, the $50M restructuring program signals management is actively leveraging AI to reduce costs, which is a margin tailwind for FY27.</w:t>
      </w:r>
    </w:p>
    <w:p>
      <w:pPr>
        <w:pStyle w:val="ListBullet"/>
        <w:ind w:left="360" w:hanging="360"/>
      </w:pPr>
      <w:r>
        <w:rPr>
          <w:rFonts w:ascii="Calibri" w:hAnsi="Calibri"/>
          <w:b/>
          <w:color w:val="525866"/>
          <w:sz w:val="22"/>
        </w:rPr>
        <w:t>May 7, 2026 — FQ4 2026 Earnings Beat + FY27 Guidance Raised:</w:t>
      </w:r>
      <w:r>
        <w:rPr>
          <w:rFonts w:ascii="Calibri" w:hAnsi="Calibri"/>
          <w:color w:val="525866"/>
          <w:sz w:val="22"/>
        </w:rPr>
        <w:t xml:space="preserve"> Revenue crossed $5B for the first time; FY27 revenue growth guidance raised to 8–10% (from prior mid-single-digit midterm target); MoneyLion delivered nearly 40% growth in Q4; partner revenue surpassed Investor Day target approaching $1B run-rate; Engine signed 30+ new partnerships in Q4 alone. </w:t>
      </w:r>
      <w:r>
        <w:rPr>
          <w:rFonts w:ascii="Calibri" w:hAnsi="Calibri"/>
          <w:b/>
          <w:color w:val="525866"/>
          <w:sz w:val="22"/>
        </w:rPr>
        <w:t>Implication:</w:t>
      </w:r>
      <w:r>
        <w:rPr>
          <w:rFonts w:ascii="Calibri" w:hAnsi="Calibri"/>
          <w:color w:val="525866"/>
          <w:sz w:val="22"/>
        </w:rPr>
        <w:t xml:space="preserve"> Structural step-change in growth trajectory; most significant positive catalyst since the MoneyLion acquisition.</w:t>
      </w:r>
    </w:p>
    <w:p>
      <w:pPr>
        <w:pStyle w:val="ListBullet"/>
        <w:ind w:left="360" w:hanging="360"/>
      </w:pPr>
      <w:r>
        <w:rPr>
          <w:rFonts w:ascii="Calibri" w:hAnsi="Calibri"/>
          <w:b/>
          <w:color w:val="525866"/>
          <w:sz w:val="22"/>
        </w:rPr>
        <w:t>May 7, 2026 — $50M Restructuring Program (8-K):</w:t>
      </w:r>
      <w:r>
        <w:rPr>
          <w:rFonts w:ascii="Calibri" w:hAnsi="Calibri"/>
          <w:color w:val="525866"/>
          <w:sz w:val="22"/>
        </w:rPr>
        <w:t xml:space="preserve"> Board approved a ~$50M restructuring charge tied to AI adoption and operational streamlining, expected over the next 12 months. </w:t>
      </w:r>
      <w:r>
        <w:rPr>
          <w:rFonts w:ascii="Calibri" w:hAnsi="Calibri"/>
          <w:b/>
          <w:color w:val="525866"/>
          <w:sz w:val="22"/>
        </w:rPr>
        <w:t>Implication:</w:t>
      </w:r>
      <w:r>
        <w:rPr>
          <w:rFonts w:ascii="Calibri" w:hAnsi="Calibri"/>
          <w:color w:val="525866"/>
          <w:sz w:val="22"/>
        </w:rPr>
        <w:t xml:space="preserve"> Non-GAAP excluded; signals management is actively using AI to reduce headcount costs, which should support margin expansion in FY27–28.</w:t>
      </w:r>
    </w:p>
    <w:p>
      <w:pPr>
        <w:pStyle w:val="ListBullet"/>
        <w:ind w:left="360" w:hanging="360"/>
      </w:pPr>
      <w:r>
        <w:rPr>
          <w:rFonts w:ascii="Calibri" w:hAnsi="Calibri"/>
          <w:b/>
          <w:color w:val="525866"/>
          <w:sz w:val="22"/>
        </w:rPr>
        <w:t>May 7, 2026 — xAI Partnership Announced:</w:t>
      </w:r>
      <w:r>
        <w:rPr>
          <w:rFonts w:ascii="Calibri" w:hAnsi="Calibri"/>
          <w:color w:val="525866"/>
          <w:sz w:val="22"/>
        </w:rPr>
        <w:t xml:space="preserve"> Gen announced a partnership with xAI whose models will power new AI-native products, including a digital concierge launching in summer 2026. </w:t>
      </w:r>
      <w:r>
        <w:rPr>
          <w:rFonts w:ascii="Calibri" w:hAnsi="Calibri"/>
          <w:b/>
          <w:color w:val="525866"/>
          <w:sz w:val="22"/>
        </w:rPr>
        <w:t>Implication:</w:t>
      </w:r>
      <w:r>
        <w:rPr>
          <w:rFonts w:ascii="Calibri" w:hAnsi="Calibri"/>
          <w:color w:val="525866"/>
          <w:sz w:val="22"/>
        </w:rPr>
        <w:t xml:space="preserve"> Positions Gen as an active co-developer of AI-native consumer products with frontier model providers; could accelerate product differentiation and ARPU expansion.</w:t>
      </w:r>
    </w:p>
    <w:p>
      <w:pPr>
        <w:pStyle w:val="ListBullet"/>
        <w:ind w:left="360" w:hanging="360"/>
      </w:pPr>
      <w:r>
        <w:rPr>
          <w:rFonts w:ascii="Calibri" w:hAnsi="Calibri"/>
          <w:b/>
          <w:color w:val="525866"/>
          <w:sz w:val="22"/>
        </w:rPr>
        <w:t>May 7, 2026 — Engine Embedded in Microsoft Copilot / MSN AI:</w:t>
      </w:r>
      <w:r>
        <w:rPr>
          <w:rFonts w:ascii="Calibri" w:hAnsi="Calibri"/>
          <w:color w:val="525866"/>
          <w:sz w:val="22"/>
        </w:rPr>
        <w:t xml:space="preserve"> Engine by Gen announced as the financial distribution layer inside Microsoft Copilot Discovery feeds and MSN AI. </w:t>
      </w:r>
      <w:r>
        <w:rPr>
          <w:rFonts w:ascii="Calibri" w:hAnsi="Calibri"/>
          <w:b/>
          <w:color w:val="525866"/>
          <w:sz w:val="22"/>
        </w:rPr>
        <w:t>Implication:</w:t>
      </w:r>
      <w:r>
        <w:rPr>
          <w:rFonts w:ascii="Calibri" w:hAnsi="Calibri"/>
          <w:color w:val="525866"/>
          <w:sz w:val="22"/>
        </w:rPr>
        <w:t xml:space="preserve"> Dramatically expands Engine's distribution reach beyond Gen's own customer base; a key driver of the $100M+ incremental annual revenue synergy target beginning H2 FY27.</w:t>
      </w:r>
    </w:p>
    <w:p>
      <w:pPr>
        <w:pStyle w:val="ListBullet"/>
        <w:ind w:left="360" w:hanging="360"/>
      </w:pPr>
      <w:r>
        <w:rPr>
          <w:rFonts w:ascii="Calibri" w:hAnsi="Calibri"/>
          <w:b/>
          <w:color w:val="525866"/>
          <w:sz w:val="22"/>
        </w:rPr>
        <w:t>May 7, 2026 — Trellis Acquisition (Insurance Marketplace):</w:t>
      </w:r>
      <w:r>
        <w:rPr>
          <w:rFonts w:ascii="Calibri" w:hAnsi="Calibri"/>
          <w:color w:val="525866"/>
          <w:sz w:val="22"/>
        </w:rPr>
        <w:t xml:space="preserve"> Gen acquired Trellis to expand Engine into the insurance marketplace. </w:t>
      </w:r>
      <w:r>
        <w:rPr>
          <w:rFonts w:ascii="Calibri" w:hAnsi="Calibri"/>
          <w:b/>
          <w:color w:val="525866"/>
          <w:sz w:val="22"/>
        </w:rPr>
        <w:t>Implication:</w:t>
      </w:r>
      <w:r>
        <w:rPr>
          <w:rFonts w:ascii="Calibri" w:hAnsi="Calibri"/>
          <w:color w:val="525866"/>
          <w:sz w:val="22"/>
        </w:rPr>
        <w:t xml:space="preserve"> Broadens Engine from financial services into insurance, expanding the addressable market for the marketplace and adding a new monetization vertical.</w:t>
      </w:r>
    </w:p>
    <w:p>
      <w:pPr>
        <w:pStyle w:val="ListBullet"/>
        <w:ind w:left="360" w:hanging="360"/>
      </w:pPr>
      <w:r>
        <w:rPr>
          <w:rFonts w:ascii="Calibri" w:hAnsi="Calibri"/>
          <w:b/>
          <w:color w:val="525866"/>
          <w:sz w:val="22"/>
        </w:rPr>
        <w:t>Jul 14, 2026 — IBM Q2 Earnings Warning Drives Cybersecurity Rally:</w:t>
      </w:r>
      <w:r>
        <w:rPr>
          <w:rFonts w:ascii="Calibri" w:hAnsi="Calibri"/>
          <w:color w:val="525866"/>
          <w:sz w:val="22"/>
        </w:rPr>
        <w:t xml:space="preserve"> IBM's Q2 earnings miss included a CEO comment on cybersecurity concerns, fueling a 10%+ surge in CrowdStrike and other security firms. HACK ETF gained ~5% on the day. </w:t>
      </w:r>
      <w:r>
        <w:rPr>
          <w:rFonts w:ascii="Calibri" w:hAnsi="Calibri"/>
          <w:b/>
          <w:color w:val="525866"/>
          <w:sz w:val="22"/>
        </w:rPr>
        <w:t>Implication:</w:t>
      </w:r>
      <w:r>
        <w:rPr>
          <w:rFonts w:ascii="Calibri" w:hAnsi="Calibri"/>
          <w:color w:val="525866"/>
          <w:sz w:val="22"/>
        </w:rPr>
        <w:t xml:space="preserve"> Reinforces the demand tailwind for consumer cyber safety; AI-driven threat escalation is a secular tailwind for GEN's core Norton/Avast/LifeLock business.</w:t>
      </w:r>
    </w:p>
    <w:p>
      <w:pPr>
        <w:pStyle w:val="ListBullet"/>
        <w:ind w:left="360" w:hanging="360"/>
      </w:pPr>
      <w:r>
        <w:rPr>
          <w:rFonts w:ascii="Calibri" w:hAnsi="Calibri"/>
          <w:b/>
          <w:color w:val="525866"/>
          <w:sz w:val="22"/>
        </w:rPr>
        <w:t>Jul 14, 2026 — Gen Announces FQ1 2027 Earnings Date:</w:t>
      </w:r>
      <w:r>
        <w:rPr>
          <w:rFonts w:ascii="Calibri" w:hAnsi="Calibri"/>
          <w:color w:val="525866"/>
          <w:sz w:val="22"/>
        </w:rPr>
        <w:t xml:space="preserve"> Gen confirmed August 6, 2026 as the date for fiscal Q1 2027 results. No pre-announcement or guidance update was included. </w:t>
      </w:r>
      <w:r>
        <w:rPr>
          <w:rFonts w:ascii="Calibri" w:hAnsi="Calibri"/>
          <w:b/>
          <w:color w:val="525866"/>
          <w:sz w:val="22"/>
        </w:rPr>
        <w:t>Implication:</w:t>
      </w:r>
      <w:r>
        <w:rPr>
          <w:rFonts w:ascii="Calibri" w:hAnsi="Calibri"/>
          <w:color w:val="525866"/>
          <w:sz w:val="22"/>
        </w:rPr>
        <w:t xml:space="preserve"> Absence of a pre-announcement is a mild positive signal — no negative surprise to flag ahead of the print.</w:t>
      </w:r>
    </w:p>
    <w:p>
      <w:pPr>
        <w:pStyle w:val="ListBullet"/>
        <w:ind w:left="360" w:hanging="360"/>
      </w:pPr>
      <w:r>
        <w:rPr>
          <w:rFonts w:ascii="Calibri" w:hAnsi="Calibri"/>
          <w:b/>
          <w:color w:val="525866"/>
          <w:sz w:val="22"/>
        </w:rPr>
        <w:t>Jun 30, 2026 — Chinese AI / Cybersecurity Demand Article (Barron's):</w:t>
      </w:r>
      <w:r>
        <w:rPr>
          <w:rFonts w:ascii="Calibri" w:hAnsi="Calibri"/>
          <w:color w:val="525866"/>
          <w:sz w:val="22"/>
        </w:rPr>
        <w:t xml:space="preserve"> J.P. Morgan noted that increasingly competitive Chinese AI is boosting demand for cybersecurity broadly. </w:t>
      </w:r>
      <w:r>
        <w:rPr>
          <w:rFonts w:ascii="Calibri" w:hAnsi="Calibri"/>
          <w:b/>
          <w:color w:val="525866"/>
          <w:sz w:val="22"/>
        </w:rPr>
        <w:t>Implication:</w:t>
      </w:r>
      <w:r>
        <w:rPr>
          <w:rFonts w:ascii="Calibri" w:hAnsi="Calibri"/>
          <w:color w:val="525866"/>
          <w:sz w:val="22"/>
        </w:rPr>
        <w:t xml:space="preserve"> Macro tailwind for GEN's consumer cyber safety business as AI-driven threats proliferate.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Activity is mixed but not alarming — a director sold 100,000 shares in a discretionary open-market transaction in early June, while a different director made a small open-market purchase. </w:t>
      </w:r>
      <w:r>
        <w:rPr>
          <w:rFonts w:ascii="Calibri" w:hAnsi="Calibri"/>
          <w:b/>
          <w:color w:val="525866"/>
          <w:sz w:val="22"/>
        </w:rPr>
        <w:t>The director sale is the most notable item</w:t>
      </w:r>
      <w:r>
        <w:rPr>
          <w:rFonts w:ascii="Calibri" w:hAnsi="Calibri"/>
          <w:color w:val="525866"/>
          <w:sz w:val="22"/>
        </w:rPr>
        <w:t xml:space="preserve"> given its size (~$2.4M), but it was not under a 10b5-1 plan, which warrants monitoring. No C-suite transactions were filed in the period.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Vlcek Ondrej</w:t>
            </w:r>
          </w:p>
        </w:tc>
        <w:tc>
          <w:tcPr>
            <w:tcW w:type="dxa" w:w="1234"/>
          </w:tcPr>
          <w:p>
            <w:r>
              <w:rPr>
                <w:rFonts w:ascii="Calibri" w:hAnsi="Calibri"/>
                <w:sz w:val="22"/>
              </w:rPr>
              <w:t>Director</w:t>
            </w:r>
          </w:p>
        </w:tc>
        <w:tc>
          <w:tcPr>
            <w:tcW w:type="dxa" w:w="1234"/>
          </w:tcPr>
          <w:p>
            <w:r>
              <w:rPr>
                <w:rFonts w:ascii="Calibri" w:hAnsi="Calibri"/>
                <w:b/>
                <w:color w:val="E5484D"/>
                <w:sz w:val="22"/>
              </w:rPr>
              <w:t>Open Market Sale</w:t>
            </w:r>
          </w:p>
        </w:tc>
        <w:tc>
          <w:tcPr>
            <w:tcW w:type="dxa" w:w="1234"/>
          </w:tcPr>
          <w:p>
            <w:r>
              <w:rPr>
                <w:rFonts w:ascii="Calibri" w:hAnsi="Calibri"/>
                <w:sz w:val="22"/>
              </w:rPr>
              <w:t>100,000</w:t>
            </w:r>
          </w:p>
        </w:tc>
        <w:tc>
          <w:tcPr>
            <w:tcW w:type="dxa" w:w="1234"/>
          </w:tcPr>
          <w:p>
            <w:r>
              <w:rPr>
                <w:rFonts w:ascii="Calibri" w:hAnsi="Calibri"/>
                <w:sz w:val="22"/>
              </w:rPr>
              <w:t>~$2.4M (est. at ~$24/share)</w:t>
            </w:r>
          </w:p>
        </w:tc>
        <w:tc>
          <w:tcPr>
            <w:tcW w:type="dxa" w:w="1234"/>
          </w:tcPr>
          <w:p>
            <w:r>
              <w:rPr>
                <w:rFonts w:ascii="Calibri" w:hAnsi="Calibri"/>
                <w:sz w:val="22"/>
              </w:rPr>
              <w:t>Jun 10, 2026</w:t>
            </w:r>
          </w:p>
        </w:tc>
        <w:tc>
          <w:tcPr>
            <w:tcW w:type="dxa" w:w="1234"/>
          </w:tcPr>
          <w:p>
            <w:r>
              <w:rPr>
                <w:rFonts w:ascii="Calibri" w:hAnsi="Calibri"/>
                <w:sz w:val="22"/>
              </w:rPr>
              <w:t>Discretionary sale (not 10b5-1); 3,832,724 shares remaining post-sale; notable size for a director</w:t>
            </w:r>
          </w:p>
        </w:tc>
      </w:tr>
      <w:tr>
        <w:tc>
          <w:tcPr>
            <w:tcW w:type="dxa" w:w="1234"/>
          </w:tcPr>
          <w:p>
            <w:r>
              <w:rPr>
                <w:rFonts w:ascii="Calibri" w:hAnsi="Calibri"/>
                <w:sz w:val="22"/>
              </w:rPr>
              <w:t>Chrystal John C</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3,000</w:t>
            </w:r>
          </w:p>
        </w:tc>
        <w:tc>
          <w:tcPr>
            <w:tcW w:type="dxa" w:w="1234"/>
          </w:tcPr>
          <w:p>
            <w:r>
              <w:rPr>
                <w:rFonts w:ascii="Calibri" w:hAnsi="Calibri"/>
                <w:sz w:val="22"/>
              </w:rPr>
              <w:t>~$72K (est. at ~$24/share)</w:t>
            </w:r>
          </w:p>
        </w:tc>
        <w:tc>
          <w:tcPr>
            <w:tcW w:type="dxa" w:w="1234"/>
          </w:tcPr>
          <w:p>
            <w:r>
              <w:rPr>
                <w:rFonts w:ascii="Calibri" w:hAnsi="Calibri"/>
                <w:sz w:val="22"/>
              </w:rPr>
              <w:t>Jun 4, 2026</w:t>
            </w:r>
          </w:p>
        </w:tc>
        <w:tc>
          <w:tcPr>
            <w:tcW w:type="dxa" w:w="1234"/>
          </w:tcPr>
          <w:p>
            <w:r>
              <w:rPr>
                <w:rFonts w:ascii="Calibri" w:hAnsi="Calibri"/>
                <w:sz w:val="22"/>
              </w:rPr>
              <w:t>Discretionary open-market purchase; 31,419 shares held post-buy; small but directionally positive</w:t>
            </w:r>
          </w:p>
        </w:tc>
      </w:tr>
    </w:tbl>
    <w:p>
      <w:r>
        <w:rPr>
          <w:rFonts w:ascii="Calibri" w:hAnsi="Calibri"/>
          <w:i/>
          <w:color w:val="525866"/>
          <w:sz w:val="22"/>
        </w:rPr>
        <w:t>Source: SEC Form 4 Filings Database (Insider Transaction Data). Form 4 filed Jun 12, 2026 (Vlcek Ondrej); Form 4 filed Jun 5, 2026 (Chrystal John C).</w:t>
      </w:r>
    </w:p>
    <w:p>
      <w:r>
        <w:br w:type="page"/>
      </w:r>
    </w:p>
    <w:p>
      <w:pPr>
        <w:pStyle w:val="Heading2"/>
      </w:pPr>
      <w:r>
        <w:rPr>
          <w:rFonts w:ascii="Calibri" w:hAnsi="Calibri"/>
          <w:b/>
          <w:color w:val="3B4259"/>
          <w:sz w:val="28"/>
        </w:rPr>
        <w:t>8. Peer Commentary: Last 60 Days / Current-Quarter Read-Through</w:t>
      </w:r>
    </w:p>
    <w:p>
      <w:r>
        <w:rPr>
          <w:rFonts w:ascii="Calibri" w:hAnsi="Calibri"/>
          <w:b/>
          <w:color w:val="525866"/>
          <w:sz w:val="22"/>
        </w:rPr>
        <w:t xml:space="preserve">Key Takeaway: </w:t>
      </w:r>
      <w:r>
        <w:rPr>
          <w:rFonts w:ascii="Calibri" w:hAnsi="Calibri"/>
          <w:color w:val="525866"/>
          <w:sz w:val="22"/>
        </w:rPr>
        <w:t xml:space="preserve">Enterprise cybersecurity peers (Fortinet, Check Point, Zscaler) all reported strong demand driven by AI-driven threat escalation and security modernization — a </w:t>
      </w:r>
      <w:r>
        <w:rPr>
          <w:rFonts w:ascii="Calibri" w:hAnsi="Calibri"/>
          <w:b/>
          <w:color w:val="525866"/>
          <w:sz w:val="22"/>
        </w:rPr>
        <w:t>broadly positive macro read-through for GEN's consumer cyber safety business</w:t>
      </w:r>
      <w:r>
        <w:rPr>
          <w:rFonts w:ascii="Calibri" w:hAnsi="Calibri"/>
          <w:color w:val="525866"/>
          <w:sz w:val="22"/>
        </w:rPr>
        <w:t>, though the direct applicability is limited given GEN's consumer focus. The most relevant signal is the universal theme that AI is expanding the threat surface and driving incremental security spend, which supports GEN's core value proposition.</w:t>
      </w:r>
    </w:p>
    <w:p>
      <w:r>
        <w:rPr>
          <w:rFonts w:ascii="Calibri" w:hAnsi="Calibri"/>
          <w:b/>
          <w:color w:val="525866"/>
          <w:sz w:val="22"/>
        </w:rPr>
        <w:t xml:space="preserve">Scope: </w:t>
      </w:r>
      <w:r>
        <w:rPr>
          <w:rFonts w:ascii="Calibri" w:hAnsi="Calibri"/>
          <w:i/>
          <w:color w:val="525866"/>
          <w:sz w:val="22"/>
        </w:rPr>
        <w:t>Only forward-looking commentary dated June 6 – August 5, 2026 about the peer's then-current or upcoming reporting quarter is included below. Prior-quarter results commentary and historical retrospectives are excluded. Enterprise-to-consumer relevance limitations are noted for each peer.</w:t>
      </w:r>
    </w:p>
    <w:p>
      <w:pPr>
        <w:pStyle w:val="Heading3"/>
      </w:pPr>
      <w:r>
        <w:rPr>
          <w:rFonts w:ascii="Calibri" w:hAnsi="Calibri"/>
          <w:b/>
          <w:color w:val="3B4259"/>
          <w:sz w:val="24"/>
        </w:rPr>
        <w:t>Fortinet (FTNT) — Q2 2026 Earnings Call (July 29, 2026)</w:t>
      </w:r>
    </w:p>
    <w:p>
      <w:r>
        <w:rPr>
          <w:rFonts w:ascii="Calibri" w:hAnsi="Calibri"/>
          <w:b/>
          <w:color w:val="525866"/>
          <w:sz w:val="22"/>
        </w:rPr>
        <w:t xml:space="preserve">Reporting Quarter: </w:t>
      </w:r>
      <w:r>
        <w:rPr>
          <w:rFonts w:ascii="Calibri" w:hAnsi="Calibri"/>
          <w:color w:val="525866"/>
          <w:sz w:val="22"/>
        </w:rPr>
        <w:t>Q2 2026 (calendar quarter ended June 30, 2026) — same calendar quarter as GEN's FQ1 2027.</w:t>
      </w:r>
    </w:p>
    <w:p>
      <w:r>
        <w:rPr>
          <w:rFonts w:ascii="Calibri" w:hAnsi="Calibri"/>
          <w:b/>
          <w:color w:val="525866"/>
          <w:sz w:val="22"/>
        </w:rPr>
        <w:t xml:space="preserve">Relevance to GEN: </w:t>
      </w:r>
      <w:r>
        <w:rPr>
          <w:rFonts w:ascii="Calibri" w:hAnsi="Calibri"/>
          <w:i/>
          <w:color w:val="525866"/>
          <w:sz w:val="22"/>
        </w:rPr>
        <w:t>Limited — Fortinet is an enterprise network security vendor (firewalls, SASE, OT security). Its demand drivers (enterprise AI infrastructure, regulatory compliance, OT/IT convergence) are distinct from GEN's consumer cyber safety market. However, the macro themes around AI-driven threat escalation and the urgency of cybersecurity investment are broadly applicable.</w:t>
      </w:r>
    </w:p>
    <w:p>
      <w:r>
        <w:rPr>
          <w:rFonts w:ascii="Calibri" w:hAnsi="Calibri"/>
          <w:b/>
          <w:color w:val="525866"/>
          <w:sz w:val="22"/>
        </w:rPr>
        <w:t>Forward-Looking Commentary (Q3 2026 Outlook):</w:t>
      </w:r>
    </w:p>
    <w:p>
      <w:pPr>
        <w:pStyle w:val="ListBullet"/>
        <w:ind w:left="360" w:hanging="360"/>
      </w:pPr>
      <w:r>
        <w:rPr>
          <w:rFonts w:ascii="Calibri" w:hAnsi="Calibri"/>
          <w:b/>
          <w:color w:val="525866"/>
          <w:sz w:val="22"/>
        </w:rPr>
        <w:t>Guidance raised across all top-line metrics for full year 2026:</w:t>
      </w:r>
      <w:r>
        <w:rPr>
          <w:rFonts w:ascii="Calibri" w:hAnsi="Calibri"/>
          <w:color w:val="525866"/>
          <w:sz w:val="22"/>
        </w:rPr>
        <w:t xml:space="preserve"> Fortinet raised FY2026 billings guidance to $9.35B–$9.55B (midpoint +25% growth) and revenue to $8.02B–$8.18B (midpoint +19% growth), citing strong first-half performance. Q3 2026 billings guided to $2.25B–$2.35B (midpoint +27% growth).</w:t>
      </w:r>
    </w:p>
    <w:p>
      <w:pPr>
        <w:pStyle w:val="ListBullet"/>
        <w:ind w:left="360" w:hanging="360"/>
      </w:pPr>
      <w:r>
        <w:rPr>
          <w:rFonts w:ascii="Calibri" w:hAnsi="Calibri"/>
          <w:b/>
          <w:color w:val="525866"/>
          <w:sz w:val="22"/>
        </w:rPr>
        <w:t>AI is the dominant driver of security infrastructure modernization:</w:t>
      </w:r>
      <w:r>
        <w:rPr>
          <w:rFonts w:ascii="Calibri" w:hAnsi="Calibri"/>
          <w:color w:val="525866"/>
          <w:sz w:val="22"/>
        </w:rPr>
        <w:t xml:space="preserve"> "As organizations deploy and use AI tools throughout their operations, they realize they must modernize their security to handle the complex, high-speed threat of AI era." Management introduced the concept of the "SASE firewall" as a new category addressing AI, SaaS, and quantum threats, representing "another massive opportunity for accelerated growth with a much larger total addressable market."</w:t>
      </w:r>
    </w:p>
    <w:p>
      <w:pPr>
        <w:pStyle w:val="ListBullet"/>
        <w:ind w:left="360" w:hanging="360"/>
      </w:pPr>
      <w:r>
        <w:rPr>
          <w:rFonts w:ascii="Calibri" w:hAnsi="Calibri"/>
          <w:b/>
          <w:color w:val="525866"/>
          <w:sz w:val="22"/>
        </w:rPr>
        <w:t>AI-driven attacks are making cybersecurity an urgent board-level priority:</w:t>
      </w:r>
      <w:r>
        <w:rPr>
          <w:rFonts w:ascii="Calibri" w:hAnsi="Calibri"/>
          <w:color w:val="525866"/>
          <w:sz w:val="22"/>
        </w:rPr>
        <w:t xml:space="preserve"> "Bad actors are leveraging AI to automate and scale sophisticated attacks, increasing the speed and complexity of threats facing organizations. Consequently, cybersecurity has become an urgent business priority, with high visibility at the executive and board levels driving faster investment decisions."</w:t>
      </w:r>
    </w:p>
    <w:p>
      <w:pPr>
        <w:pStyle w:val="ListBullet"/>
        <w:ind w:left="360" w:hanging="360"/>
      </w:pPr>
      <w:r>
        <w:rPr>
          <w:rFonts w:ascii="Calibri" w:hAnsi="Calibri"/>
          <w:b/>
          <w:color w:val="525866"/>
          <w:sz w:val="22"/>
        </w:rPr>
        <w:t>SASE billings more than doubled year-over-year:</w:t>
      </w:r>
      <w:r>
        <w:rPr>
          <w:rFonts w:ascii="Calibri" w:hAnsi="Calibri"/>
          <w:color w:val="525866"/>
          <w:sz w:val="22"/>
        </w:rPr>
        <w:t xml:space="preserve"> Strong growth in SASE and SD-WAN, with customers preparing for increased network traffic by moving to higher-performing models (good unit growth and ASP growth).</w:t>
      </w:r>
    </w:p>
    <w:p>
      <w:pPr>
        <w:pStyle w:val="ListBullet"/>
        <w:ind w:left="360" w:hanging="360"/>
      </w:pPr>
      <w:r>
        <w:rPr>
          <w:rFonts w:ascii="Calibri" w:hAnsi="Calibri"/>
          <w:b/>
          <w:color w:val="525866"/>
          <w:sz w:val="22"/>
        </w:rPr>
        <w:t>Price increases of high-single-digits built into H2 2026 billings assumptions:</w:t>
      </w:r>
      <w:r>
        <w:rPr>
          <w:rFonts w:ascii="Calibri" w:hAnsi="Calibri"/>
          <w:color w:val="525866"/>
          <w:sz w:val="22"/>
        </w:rPr>
        <w:t xml:space="preserve"> Fortinet is passing through component cost increases while maintaining gross margin targets.</w:t>
      </w:r>
    </w:p>
    <w:p>
      <w:pPr>
        <w:pStyle w:val="ListBullet"/>
        <w:ind w:left="360" w:hanging="360"/>
      </w:pPr>
      <w:r>
        <w:rPr>
          <w:rFonts w:ascii="Calibri" w:hAnsi="Calibri"/>
          <w:b/>
          <w:color w:val="525866"/>
          <w:sz w:val="22"/>
        </w:rPr>
        <w:t>No pull-forward of demand observed:</w:t>
      </w:r>
      <w:r>
        <w:rPr>
          <w:rFonts w:ascii="Calibri" w:hAnsi="Calibri"/>
          <w:color w:val="525866"/>
          <w:sz w:val="22"/>
        </w:rPr>
        <w:t xml:space="preserve"> Management confirmed no excess inventory or demand pull-forward, suggesting organic demand strength.</w:t>
      </w:r>
    </w:p>
    <w:p>
      <w:r>
        <w:rPr>
          <w:rFonts w:ascii="Calibri" w:hAnsi="Calibri"/>
          <w:b/>
          <w:color w:val="525866"/>
          <w:sz w:val="22"/>
        </w:rPr>
        <w:t xml:space="preserve">GEN Read-Through: </w:t>
      </w:r>
      <w:r>
        <w:rPr>
          <w:rFonts w:ascii="Calibri" w:hAnsi="Calibri"/>
          <w:i/>
          <w:color w:val="525866"/>
          <w:sz w:val="22"/>
        </w:rPr>
        <w:t>The AI-driven threat escalation theme is a direct tailwind for GEN's consumer cyber safety business — as AI makes attacks more sophisticated and accessible, consumer demand for Norton/Avast/LifeLock protection should increase. The urgency of cybersecurity at the board level in enterprises also tends to filter down to consumer awareness. However, Fortinet's specific growth drivers (enterprise SASE, OT security, regulatory compliance) have no direct consumer equivalent.</w:t>
      </w:r>
    </w:p>
    <w:p>
      <w:r>
        <w:rPr>
          <w:rFonts w:ascii="Calibri" w:hAnsi="Calibri"/>
          <w:i/>
          <w:color w:val="525866"/>
          <w:sz w:val="22"/>
        </w:rPr>
        <w:t>Source: Fortinet Q2 2026 Earnings Call Transcript (July 29, 2026).</w:t>
      </w:r>
    </w:p>
    <w:p>
      <w:pPr>
        <w:pStyle w:val="Heading3"/>
      </w:pPr>
      <w:r>
        <w:rPr>
          <w:rFonts w:ascii="Calibri" w:hAnsi="Calibri"/>
          <w:b/>
          <w:color w:val="3B4259"/>
          <w:sz w:val="24"/>
        </w:rPr>
        <w:t>Check Point Software (CHKP) — Q2 2026 Earnings Call (July 30, 2026)</w:t>
      </w:r>
    </w:p>
    <w:p>
      <w:r>
        <w:rPr>
          <w:rFonts w:ascii="Calibri" w:hAnsi="Calibri"/>
          <w:b/>
          <w:color w:val="525866"/>
          <w:sz w:val="22"/>
        </w:rPr>
        <w:t xml:space="preserve">Reporting Quarter: </w:t>
      </w:r>
      <w:r>
        <w:rPr>
          <w:rFonts w:ascii="Calibri" w:hAnsi="Calibri"/>
          <w:color w:val="525866"/>
          <w:sz w:val="22"/>
        </w:rPr>
        <w:t>Q2 2026 (calendar quarter ended June 30, 2026) — same calendar quarter as GEN's FQ1 2027.</w:t>
      </w:r>
    </w:p>
    <w:p>
      <w:r>
        <w:rPr>
          <w:rFonts w:ascii="Calibri" w:hAnsi="Calibri"/>
          <w:b/>
          <w:color w:val="525866"/>
          <w:sz w:val="22"/>
        </w:rPr>
        <w:t xml:space="preserve">Relevance to GEN: </w:t>
      </w:r>
      <w:r>
        <w:rPr>
          <w:rFonts w:ascii="Calibri" w:hAnsi="Calibri"/>
          <w:i/>
          <w:color w:val="525866"/>
          <w:sz w:val="22"/>
        </w:rPr>
        <w:t>Limited — Check Point is an enterprise cybersecurity vendor focused on network security, AI firewalls, and threat exposure management for large organizations. Its customer base (100,000+ enterprises) and product set are entirely distinct from GEN's consumer market. The AI threat escalation theme is the primary read-through.</w:t>
      </w:r>
    </w:p>
    <w:p>
      <w:r>
        <w:rPr>
          <w:rFonts w:ascii="Calibri" w:hAnsi="Calibri"/>
          <w:b/>
          <w:color w:val="525866"/>
          <w:sz w:val="22"/>
        </w:rPr>
        <w:t>Forward-Looking Commentary (Q3 2026 Outlook):</w:t>
      </w:r>
    </w:p>
    <w:p>
      <w:pPr>
        <w:pStyle w:val="ListBullet"/>
        <w:ind w:left="360" w:hanging="360"/>
      </w:pPr>
      <w:r>
        <w:rPr>
          <w:rFonts w:ascii="Calibri" w:hAnsi="Calibri"/>
          <w:b/>
          <w:color w:val="525866"/>
          <w:sz w:val="22"/>
        </w:rPr>
        <w:t>Q3 2026 guided as the trough, with stronger Q4 expected:</w:t>
      </w:r>
      <w:r>
        <w:rPr>
          <w:rFonts w:ascii="Calibri" w:hAnsi="Calibri"/>
          <w:color w:val="525866"/>
          <w:sz w:val="22"/>
        </w:rPr>
        <w:t xml:space="preserve"> Management guided Q3 2026 revenue to $655M–$685M and non-GAAP EPS to $2.43–$2.53, characterizing Q3 as a "tricky quarter because of the summer" with deals expected to push to Q4. Full-year 2026 guidance maintained.</w:t>
      </w:r>
    </w:p>
    <w:p>
      <w:pPr>
        <w:pStyle w:val="ListBullet"/>
        <w:ind w:left="360" w:hanging="360"/>
      </w:pPr>
      <w:r>
        <w:rPr>
          <w:rFonts w:ascii="Calibri" w:hAnsi="Calibri"/>
          <w:b/>
          <w:color w:val="525866"/>
          <w:sz w:val="22"/>
        </w:rPr>
        <w:t>AI is democratizing and industrializing sophisticated cyberattacks:</w:t>
      </w:r>
      <w:r>
        <w:rPr>
          <w:rFonts w:ascii="Calibri" w:hAnsi="Calibri"/>
          <w:color w:val="525866"/>
          <w:sz w:val="22"/>
        </w:rPr>
        <w:t xml:space="preserve"> CEO Gil Shwed stated: "AI, and particularly the latest frontier model, is driving a collapse in scarcity of adversarial capabilities. This is democratizing and industrializing sophisticated cyber attacks and challenging many of the assumptions that have guided cybersecurity for decades." Management emphasized the need to "defend against sophisticated attacks at unprecedented scale."</w:t>
      </w:r>
    </w:p>
    <w:p>
      <w:pPr>
        <w:pStyle w:val="ListBullet"/>
        <w:ind w:left="360" w:hanging="360"/>
      </w:pPr>
      <w:r>
        <w:rPr>
          <w:rFonts w:ascii="Calibri" w:hAnsi="Calibri"/>
          <w:b/>
          <w:color w:val="525866"/>
          <w:sz w:val="22"/>
        </w:rPr>
        <w:t>Industry's first AI network firewall launched:</w:t>
      </w:r>
      <w:r>
        <w:rPr>
          <w:rFonts w:ascii="Calibri" w:hAnsi="Calibri"/>
          <w:color w:val="525866"/>
          <w:sz w:val="22"/>
        </w:rPr>
        <w:t xml:space="preserve"> Check Point introduced an AI network firewall providing "visibility, control, and security for prompts, agent actions, and model interactions" — a new product category addressing AI-native threats. Email security and AI security combined exceeded 40% growth year-over-year.</w:t>
      </w:r>
    </w:p>
    <w:p>
      <w:pPr>
        <w:pStyle w:val="ListBullet"/>
        <w:ind w:left="360" w:hanging="360"/>
      </w:pPr>
      <w:r>
        <w:rPr>
          <w:rFonts w:ascii="Calibri" w:hAnsi="Calibri"/>
          <w:b/>
          <w:color w:val="525866"/>
          <w:sz w:val="22"/>
        </w:rPr>
        <w:t>Subscription revenue accelerating despite appliance headwinds:</w:t>
      </w:r>
      <w:r>
        <w:rPr>
          <w:rFonts w:ascii="Calibri" w:hAnsi="Calibri"/>
          <w:color w:val="525866"/>
          <w:sz w:val="22"/>
        </w:rPr>
        <w:t xml:space="preserve"> Subscription revenue grew 12% year-over-year in Q2, with management expecting "slightly acceleration in subscription revenues" in Q3. Continuous threat exposure management (CTEM) growing at nearly 100%.</w:t>
      </w:r>
    </w:p>
    <w:p>
      <w:pPr>
        <w:pStyle w:val="ListBullet"/>
        <w:ind w:left="360" w:hanging="360"/>
      </w:pPr>
      <w:r>
        <w:rPr>
          <w:rFonts w:ascii="Calibri" w:hAnsi="Calibri"/>
          <w:b/>
          <w:color w:val="525866"/>
          <w:sz w:val="22"/>
        </w:rPr>
        <w:t>Expanding sales capacity significantly:</w:t>
      </w:r>
      <w:r>
        <w:rPr>
          <w:rFonts w:ascii="Calibri" w:hAnsi="Calibri"/>
          <w:color w:val="525866"/>
          <w:sz w:val="22"/>
        </w:rPr>
        <w:t xml:space="preserve"> "We are significantly expanding sales capacity by hiring hundreds of additional salespeople" to capture a growing market opportunity — a signal of confidence in the demand pipeline.</w:t>
      </w:r>
    </w:p>
    <w:p>
      <w:pPr>
        <w:pStyle w:val="ListBullet"/>
        <w:ind w:left="360" w:hanging="360"/>
      </w:pPr>
      <w:r>
        <w:rPr>
          <w:rFonts w:ascii="Calibri" w:hAnsi="Calibri"/>
          <w:b/>
          <w:color w:val="525866"/>
          <w:sz w:val="22"/>
        </w:rPr>
        <w:t>Mythos (frontier AI model) urgency is higher than COVID:</w:t>
      </w:r>
      <w:r>
        <w:rPr>
          <w:rFonts w:ascii="Calibri" w:hAnsi="Calibri"/>
          <w:color w:val="525866"/>
          <w:sz w:val="22"/>
        </w:rPr>
        <w:t xml:space="preserve"> "The urgency for Mythos is actually higher in many ways. Almost every CIO/CISO said, we've got a task force. We are reporting the Board every week or every 2 weeks on the progress." This is driving customers to adopt Zero Trust and hide applications.</w:t>
      </w:r>
    </w:p>
    <w:p>
      <w:r>
        <w:rPr>
          <w:rFonts w:ascii="Calibri" w:hAnsi="Calibri"/>
          <w:b/>
          <w:color w:val="525866"/>
          <w:sz w:val="22"/>
        </w:rPr>
        <w:t xml:space="preserve">GEN Read-Through: </w:t>
      </w:r>
      <w:r>
        <w:rPr>
          <w:rFonts w:ascii="Calibri" w:hAnsi="Calibri"/>
          <w:i/>
          <w:color w:val="525866"/>
          <w:sz w:val="22"/>
        </w:rPr>
        <w:t>The "democratization of sophisticated cyberattacks" via AI is the most relevant read-through for GEN — as AI makes it easier for bad actors to target individuals (not just enterprises), consumer demand for identity protection, privacy tools, and scam detection should increase. Check Point's commentary on AI-driven threat urgency at the board level also tends to elevate consumer awareness of cyber risks. The specific enterprise products (AI network firewalls, CTEM, SASE) have no direct consumer equivalent.</w:t>
      </w:r>
    </w:p>
    <w:p>
      <w:r>
        <w:rPr>
          <w:rFonts w:ascii="Calibri" w:hAnsi="Calibri"/>
          <w:i/>
          <w:color w:val="525866"/>
          <w:sz w:val="22"/>
        </w:rPr>
        <w:t>Source: Check Point Software Q2 2026 Earnings Call Transcript and Press Release (July 30, 2026).</w:t>
      </w:r>
    </w:p>
    <w:p>
      <w:pPr>
        <w:pStyle w:val="Heading3"/>
      </w:pPr>
      <w:r>
        <w:rPr>
          <w:rFonts w:ascii="Calibri" w:hAnsi="Calibri"/>
          <w:b/>
          <w:color w:val="3B4259"/>
          <w:sz w:val="24"/>
        </w:rPr>
        <w:t>Zscaler (ZS) — Zenith Live Investor Session (June 9, 2026)</w:t>
      </w:r>
    </w:p>
    <w:p>
      <w:r>
        <w:rPr>
          <w:rFonts w:ascii="Calibri" w:hAnsi="Calibri"/>
          <w:b/>
          <w:color w:val="525866"/>
          <w:sz w:val="22"/>
        </w:rPr>
        <w:t xml:space="preserve">Reporting Quarter: </w:t>
      </w:r>
      <w:r>
        <w:rPr>
          <w:rFonts w:ascii="Calibri" w:hAnsi="Calibri"/>
          <w:color w:val="525866"/>
          <w:sz w:val="22"/>
        </w:rPr>
        <w:t>Commentary dated June 9, 2026 — within the 60-day window and forward-looking about Zscaler's then-current fiscal Q4 2026 (ending July 31, 2026) and beyond.</w:t>
      </w:r>
    </w:p>
    <w:p>
      <w:r>
        <w:rPr>
          <w:rFonts w:ascii="Calibri" w:hAnsi="Calibri"/>
          <w:b/>
          <w:color w:val="525866"/>
          <w:sz w:val="22"/>
        </w:rPr>
        <w:t xml:space="preserve">Relevance to GEN: </w:t>
      </w:r>
      <w:r>
        <w:rPr>
          <w:rFonts w:ascii="Calibri" w:hAnsi="Calibri"/>
          <w:i/>
          <w:color w:val="525866"/>
          <w:sz w:val="22"/>
        </w:rPr>
        <w:t>Limited — Zscaler is a pure-play enterprise Zero Trust cloud security vendor targeting 20,000 large enterprises. Its products (Zero Trust Everywhere, AI Protect, Agentic SecOps) are designed for complex organizational architectures. The identity security and AI agent security themes have the most read-through relevance to GEN's LifeLock and Trust Hub products.</w:t>
      </w:r>
    </w:p>
    <w:p>
      <w:r>
        <w:rPr>
          <w:rFonts w:ascii="Calibri" w:hAnsi="Calibri"/>
          <w:b/>
          <w:color w:val="525866"/>
          <w:sz w:val="22"/>
        </w:rPr>
        <w:t>Forward-Looking Commentary (Current Quarter / Upcoming Period):</w:t>
      </w:r>
    </w:p>
    <w:p>
      <w:pPr>
        <w:pStyle w:val="ListBullet"/>
        <w:ind w:left="360" w:hanging="360"/>
      </w:pPr>
      <w:r>
        <w:rPr>
          <w:rFonts w:ascii="Calibri" w:hAnsi="Calibri"/>
          <w:b/>
          <w:color w:val="525866"/>
          <w:sz w:val="22"/>
        </w:rPr>
        <w:t>AI Protect crossed $100M ARR in 12 months since launch:</w:t>
      </w:r>
      <w:r>
        <w:rPr>
          <w:rFonts w:ascii="Calibri" w:hAnsi="Calibri"/>
          <w:color w:val="525866"/>
          <w:sz w:val="22"/>
        </w:rPr>
        <w:t xml:space="preserve"> Zscaler's AI security product launched in January 2026 crossed $100M in ARR, demonstrating rapid monetization of AI-native security products. Data security crossed $500M ARR with 30%+ year-over-year growth.</w:t>
      </w:r>
    </w:p>
    <w:p>
      <w:pPr>
        <w:pStyle w:val="ListBullet"/>
        <w:ind w:left="360" w:hanging="360"/>
      </w:pPr>
      <w:r>
        <w:rPr>
          <w:rFonts w:ascii="Calibri" w:hAnsi="Calibri"/>
          <w:b/>
          <w:color w:val="525866"/>
          <w:sz w:val="22"/>
        </w:rPr>
        <w:t>Zero Trust for AI agents is the "most exciting" new product:</w:t>
      </w:r>
      <w:r>
        <w:rPr>
          <w:rFonts w:ascii="Calibri" w:hAnsi="Calibri"/>
          <w:color w:val="525866"/>
          <w:sz w:val="22"/>
        </w:rPr>
        <w:t xml:space="preserve"> CEO Jay Chaudhry described Zero Trust for AI agents as "one of the hardest problems to solve" with "bigger barriers to entry for any new entrants." Agentic SecOps launched at the event. Monetization will be based on traffic/requests (token-based pricing), with pricing to be firmed up in the next few months.</w:t>
      </w:r>
    </w:p>
    <w:p>
      <w:pPr>
        <w:pStyle w:val="ListBullet"/>
        <w:ind w:left="360" w:hanging="360"/>
      </w:pPr>
      <w:r>
        <w:rPr>
          <w:rFonts w:ascii="Calibri" w:hAnsi="Calibri"/>
          <w:b/>
          <w:color w:val="525866"/>
          <w:sz w:val="22"/>
        </w:rPr>
        <w:t>Identity is the top spending priority for enterprise CISOs:</w:t>
      </w:r>
      <w:r>
        <w:rPr>
          <w:rFonts w:ascii="Calibri" w:hAnsi="Calibri"/>
          <w:color w:val="525866"/>
          <w:sz w:val="22"/>
        </w:rPr>
        <w:t xml:space="preserve"> Enterprise customers at the event (Edward Jones, Eaton, UKG) ranked identity as the #1 security spending priority: "Identity still to me is extremely high" (Edward Jones CISO); "I would say identity first, data second" (UKG CSO).</w:t>
      </w:r>
    </w:p>
    <w:p>
      <w:pPr>
        <w:pStyle w:val="ListBullet"/>
        <w:ind w:left="360" w:hanging="360"/>
      </w:pPr>
      <w:r>
        <w:rPr>
          <w:rFonts w:ascii="Calibri" w:hAnsi="Calibri"/>
          <w:b/>
          <w:color w:val="525866"/>
          <w:sz w:val="22"/>
        </w:rPr>
        <w:t>AI security spending is incremental, not a reallocation:</w:t>
      </w:r>
      <w:r>
        <w:rPr>
          <w:rFonts w:ascii="Calibri" w:hAnsi="Calibri"/>
          <w:color w:val="525866"/>
          <w:sz w:val="22"/>
        </w:rPr>
        <w:t xml:space="preserve"> Enterprise customers confirmed AI security budgets are "an addition to the budget at this point in time" (Edward Jones) and "coming from the business, not from security" (Eaton) — suggesting AI-driven security spend is genuinely incremental rather than cannibalizing existing budgets.</w:t>
      </w:r>
    </w:p>
    <w:p>
      <w:pPr>
        <w:pStyle w:val="ListBullet"/>
        <w:ind w:left="360" w:hanging="360"/>
      </w:pPr>
      <w:r>
        <w:rPr>
          <w:rFonts w:ascii="Calibri" w:hAnsi="Calibri"/>
          <w:b/>
          <w:color w:val="525866"/>
          <w:sz w:val="22"/>
        </w:rPr>
        <w:t>Mythos (frontier AI model) is accelerating Zero Trust adoption:</w:t>
      </w:r>
      <w:r>
        <w:rPr>
          <w:rFonts w:ascii="Calibri" w:hAnsi="Calibri"/>
          <w:color w:val="525866"/>
          <w:sz w:val="22"/>
        </w:rPr>
        <w:t xml:space="preserve"> "Mythos is becoming an accelerant for adoption of Zero Trust" — current customers are actively working on hiding applications, moving to Zero Trust everywhere, and accelerating branch projects in response to AI-driven threats.</w:t>
      </w:r>
    </w:p>
    <w:p>
      <w:pPr>
        <w:pStyle w:val="ListBullet"/>
        <w:ind w:left="360" w:hanging="360"/>
      </w:pPr>
      <w:r>
        <w:rPr>
          <w:rFonts w:ascii="Calibri" w:hAnsi="Calibri"/>
          <w:b/>
          <w:color w:val="525866"/>
          <w:sz w:val="22"/>
        </w:rPr>
        <w:t>Non-seat-based pricing growing to 30% of new ACV:</w:t>
      </w:r>
      <w:r>
        <w:rPr>
          <w:rFonts w:ascii="Calibri" w:hAnsi="Calibri"/>
          <w:color w:val="525866"/>
          <w:sz w:val="22"/>
        </w:rPr>
        <w:t xml:space="preserve"> New business ACV from non-seat-based pricing grew from ~25% to 30% in Q3, signaling a shift toward consumption-based monetization that could expand revenue per customer.</w:t>
      </w:r>
    </w:p>
    <w:p>
      <w:r>
        <w:rPr>
          <w:rFonts w:ascii="Calibri" w:hAnsi="Calibri"/>
          <w:b/>
          <w:color w:val="525866"/>
          <w:sz w:val="22"/>
        </w:rPr>
        <w:t xml:space="preserve">GEN Read-Through: </w:t>
      </w:r>
      <w:r>
        <w:rPr>
          <w:rFonts w:ascii="Calibri" w:hAnsi="Calibri"/>
          <w:i/>
          <w:color w:val="525866"/>
          <w:sz w:val="22"/>
        </w:rPr>
        <w:t>The identity-first spending priority among enterprise CISOs is the most relevant read-through for GEN's LifeLock business — if identity is the top enterprise security concern, it is likely also a growing consumer concern, supporting demand for LifeLock's identity protection products. The AI agent security theme also directly parallels GEN's Trust Hub and Neo browser positioning as the "trust layer for AI agents." The confirmation that AI security spending is incremental (not a reallocation) is a positive macro signal for the overall security market. However, Zscaler's specific enterprise products and pricing models have no direct consumer equivalent.</w:t>
      </w:r>
    </w:p>
    <w:p>
      <w:r>
        <w:rPr>
          <w:rFonts w:ascii="Calibri" w:hAnsi="Calibri"/>
          <w:i/>
          <w:color w:val="525866"/>
          <w:sz w:val="22"/>
        </w:rPr>
        <w:t>Source: Zscaler Zenith Live Investor Session Call Transcript (June 9, 2026).</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Event Date</w:t>
            </w:r>
          </w:p>
        </w:tc>
        <w:tc>
          <w:tcPr>
            <w:tcW w:type="dxa" w:w="1440"/>
            <w:shd w:val="clear" w:color="auto" w:fill="3B4259"/>
          </w:tcPr>
          <w:p>
            <w:r>
              <w:rPr>
                <w:rFonts w:ascii="Calibri" w:hAnsi="Calibri"/>
                <w:b/>
                <w:color w:val="FFFFFF"/>
                <w:sz w:val="22"/>
              </w:rPr>
              <w:t>Reporting Quarter</w:t>
            </w:r>
          </w:p>
        </w:tc>
        <w:tc>
          <w:tcPr>
            <w:tcW w:type="dxa" w:w="1440"/>
            <w:shd w:val="clear" w:color="auto" w:fill="3B4259"/>
          </w:tcPr>
          <w:p>
            <w:r>
              <w:rPr>
                <w:rFonts w:ascii="Calibri" w:hAnsi="Calibri"/>
                <w:b/>
                <w:color w:val="FFFFFF"/>
                <w:sz w:val="22"/>
              </w:rPr>
              <w:t>Key Forward-Looking Theme</w:t>
            </w:r>
          </w:p>
        </w:tc>
        <w:tc>
          <w:tcPr>
            <w:tcW w:type="dxa" w:w="1440"/>
            <w:shd w:val="clear" w:color="auto" w:fill="3B4259"/>
          </w:tcPr>
          <w:p>
            <w:r>
              <w:rPr>
                <w:rFonts w:ascii="Calibri" w:hAnsi="Calibri"/>
                <w:b/>
                <w:color w:val="FFFFFF"/>
                <w:sz w:val="22"/>
              </w:rPr>
              <w:t>GEN Read-Through</w:t>
            </w:r>
          </w:p>
        </w:tc>
        <w:tc>
          <w:tcPr>
            <w:tcW w:type="dxa" w:w="1440"/>
            <w:shd w:val="clear" w:color="auto" w:fill="3B4259"/>
          </w:tcPr>
          <w:p>
            <w:r>
              <w:rPr>
                <w:rFonts w:ascii="Calibri" w:hAnsi="Calibri"/>
                <w:b/>
                <w:color w:val="FFFFFF"/>
                <w:sz w:val="22"/>
              </w:rPr>
              <w:t>Relevance</w:t>
            </w:r>
          </w:p>
        </w:tc>
      </w:tr>
      <w:tr>
        <w:tc>
          <w:tcPr>
            <w:tcW w:type="dxa" w:w="1440"/>
          </w:tcPr>
          <w:p>
            <w:r>
              <w:rPr>
                <w:rFonts w:ascii="Calibri" w:hAnsi="Calibri"/>
                <w:sz w:val="22"/>
              </w:rPr>
              <w:t>Fortinet (FTNT)</w:t>
            </w:r>
          </w:p>
        </w:tc>
        <w:tc>
          <w:tcPr>
            <w:tcW w:type="dxa" w:w="1440"/>
          </w:tcPr>
          <w:p>
            <w:r>
              <w:rPr>
                <w:rFonts w:ascii="Calibri" w:hAnsi="Calibri"/>
                <w:sz w:val="22"/>
              </w:rPr>
              <w:t>Jul 29, 2026</w:t>
            </w:r>
          </w:p>
        </w:tc>
        <w:tc>
          <w:tcPr>
            <w:tcW w:type="dxa" w:w="1440"/>
          </w:tcPr>
          <w:p>
            <w:r>
              <w:rPr>
                <w:rFonts w:ascii="Calibri" w:hAnsi="Calibri"/>
                <w:sz w:val="22"/>
              </w:rPr>
              <w:t>Q2 2026 (Jun-26)</w:t>
            </w:r>
          </w:p>
        </w:tc>
        <w:tc>
          <w:tcPr>
            <w:tcW w:type="dxa" w:w="1440"/>
          </w:tcPr>
          <w:p>
            <w:r>
              <w:rPr>
                <w:rFonts w:ascii="Calibri" w:hAnsi="Calibri"/>
                <w:sz w:val="22"/>
              </w:rPr>
              <w:t>AI driving security modernization urgency; guidance raised; SASE billings 2x YoY; no demand pull-forward</w:t>
            </w:r>
          </w:p>
        </w:tc>
        <w:tc>
          <w:tcPr>
            <w:tcW w:type="dxa" w:w="1440"/>
          </w:tcPr>
          <w:p>
            <w:r>
              <w:rPr>
                <w:rFonts w:ascii="Calibri" w:hAnsi="Calibri"/>
                <w:sz w:val="22"/>
              </w:rPr>
              <w:t>AI threat escalation = consumer cyber safety tailwind; urgency elevates consumer awareness</w:t>
            </w:r>
          </w:p>
        </w:tc>
        <w:tc>
          <w:tcPr>
            <w:tcW w:type="dxa" w:w="1440"/>
          </w:tcPr>
          <w:p>
            <w:r>
              <w:rPr>
                <w:rFonts w:ascii="Calibri" w:hAnsi="Calibri"/>
                <w:sz w:val="22"/>
              </w:rPr>
              <w:t>Low-Moderate (enterprise focus)</w:t>
            </w:r>
          </w:p>
        </w:tc>
      </w:tr>
      <w:tr>
        <w:tc>
          <w:tcPr>
            <w:tcW w:type="dxa" w:w="1440"/>
          </w:tcPr>
          <w:p>
            <w:r>
              <w:rPr>
                <w:rFonts w:ascii="Calibri" w:hAnsi="Calibri"/>
                <w:sz w:val="22"/>
              </w:rPr>
              <w:t>Check Point (CHKP)</w:t>
            </w:r>
          </w:p>
        </w:tc>
        <w:tc>
          <w:tcPr>
            <w:tcW w:type="dxa" w:w="1440"/>
          </w:tcPr>
          <w:p>
            <w:r>
              <w:rPr>
                <w:rFonts w:ascii="Calibri" w:hAnsi="Calibri"/>
                <w:sz w:val="22"/>
              </w:rPr>
              <w:t>Jul 30, 2026</w:t>
            </w:r>
          </w:p>
        </w:tc>
        <w:tc>
          <w:tcPr>
            <w:tcW w:type="dxa" w:w="1440"/>
          </w:tcPr>
          <w:p>
            <w:r>
              <w:rPr>
                <w:rFonts w:ascii="Calibri" w:hAnsi="Calibri"/>
                <w:sz w:val="22"/>
              </w:rPr>
              <w:t>Q2 2026 (Jun-26)</w:t>
            </w:r>
          </w:p>
        </w:tc>
        <w:tc>
          <w:tcPr>
            <w:tcW w:type="dxa" w:w="1440"/>
          </w:tcPr>
          <w:p>
            <w:r>
              <w:rPr>
                <w:rFonts w:ascii="Calibri" w:hAnsi="Calibri"/>
                <w:sz w:val="22"/>
              </w:rPr>
              <w:t>AI democratizing sophisticated attacks; Q3 guided as trough; subscription accelerating; hiring hundreds of salespeople</w:t>
            </w:r>
          </w:p>
        </w:tc>
        <w:tc>
          <w:tcPr>
            <w:tcW w:type="dxa" w:w="1440"/>
          </w:tcPr>
          <w:p>
            <w:r>
              <w:rPr>
                <w:rFonts w:ascii="Calibri" w:hAnsi="Calibri"/>
                <w:sz w:val="22"/>
              </w:rPr>
              <w:t>Democratization of attacks = more consumer victims = higher demand for Norton/LifeLock</w:t>
            </w:r>
          </w:p>
        </w:tc>
        <w:tc>
          <w:tcPr>
            <w:tcW w:type="dxa" w:w="1440"/>
          </w:tcPr>
          <w:p>
            <w:r>
              <w:rPr>
                <w:rFonts w:ascii="Calibri" w:hAnsi="Calibri"/>
                <w:sz w:val="22"/>
              </w:rPr>
              <w:t>Low-Moderate (enterprise focus)</w:t>
            </w:r>
          </w:p>
        </w:tc>
      </w:tr>
      <w:tr>
        <w:tc>
          <w:tcPr>
            <w:tcW w:type="dxa" w:w="1440"/>
          </w:tcPr>
          <w:p>
            <w:r>
              <w:rPr>
                <w:rFonts w:ascii="Calibri" w:hAnsi="Calibri"/>
                <w:sz w:val="22"/>
              </w:rPr>
              <w:t>Zscaler (ZS)</w:t>
            </w:r>
          </w:p>
        </w:tc>
        <w:tc>
          <w:tcPr>
            <w:tcW w:type="dxa" w:w="1440"/>
          </w:tcPr>
          <w:p>
            <w:r>
              <w:rPr>
                <w:rFonts w:ascii="Calibri" w:hAnsi="Calibri"/>
                <w:sz w:val="22"/>
              </w:rPr>
              <w:t>Jun 9, 2026</w:t>
            </w:r>
          </w:p>
        </w:tc>
        <w:tc>
          <w:tcPr>
            <w:tcW w:type="dxa" w:w="1440"/>
          </w:tcPr>
          <w:p>
            <w:r>
              <w:rPr>
                <w:rFonts w:ascii="Calibri" w:hAnsi="Calibri"/>
                <w:sz w:val="22"/>
              </w:rPr>
              <w:t>FQ4 2026 (Jul-26)</w:t>
            </w:r>
          </w:p>
        </w:tc>
        <w:tc>
          <w:tcPr>
            <w:tcW w:type="dxa" w:w="1440"/>
          </w:tcPr>
          <w:p>
            <w:r>
              <w:rPr>
                <w:rFonts w:ascii="Calibri" w:hAnsi="Calibri"/>
                <w:sz w:val="22"/>
              </w:rPr>
              <w:t>Identity #1 CISO priority; AI security spend incremental; AI Protect $100M ARR; Zero Trust for AI agents launched</w:t>
            </w:r>
          </w:p>
        </w:tc>
        <w:tc>
          <w:tcPr>
            <w:tcW w:type="dxa" w:w="1440"/>
          </w:tcPr>
          <w:p>
            <w:r>
              <w:rPr>
                <w:rFonts w:ascii="Calibri" w:hAnsi="Calibri"/>
                <w:sz w:val="22"/>
              </w:rPr>
              <w:t>Identity-first theme supports LifeLock demand; AI agent security parallels GEN's Trust Hub positioning</w:t>
            </w:r>
          </w:p>
        </w:tc>
        <w:tc>
          <w:tcPr>
            <w:tcW w:type="dxa" w:w="1440"/>
          </w:tcPr>
          <w:p>
            <w:r>
              <w:rPr>
                <w:rFonts w:ascii="Calibri" w:hAnsi="Calibri"/>
                <w:sz w:val="22"/>
              </w:rPr>
              <w:t>Moderate (identity overlap)</w:t>
            </w:r>
          </w:p>
        </w:tc>
      </w:tr>
    </w:tbl>
    <w:p>
      <w:r>
        <w:rPr>
          <w:rFonts w:ascii="Calibri" w:hAnsi="Calibri"/>
          <w:b/>
          <w:color w:val="525866"/>
          <w:sz w:val="22"/>
        </w:rPr>
        <w:t xml:space="preserve">Overall Peer Read-Through Assessment: </w:t>
      </w:r>
      <w:r>
        <w:rPr>
          <w:rFonts w:ascii="Calibri" w:hAnsi="Calibri"/>
          <w:color w:val="525866"/>
          <w:sz w:val="22"/>
        </w:rPr>
        <w:t xml:space="preserve">The consistent theme across all three enterprise cybersecurity peers is that </w:t>
      </w:r>
      <w:r>
        <w:rPr>
          <w:rFonts w:ascii="Calibri" w:hAnsi="Calibri"/>
          <w:b/>
          <w:color w:val="525866"/>
          <w:sz w:val="22"/>
        </w:rPr>
        <w:t>AI is dramatically expanding the threat surface and driving incremental security spend</w:t>
      </w:r>
      <w:r>
        <w:rPr>
          <w:rFonts w:ascii="Calibri" w:hAnsi="Calibri"/>
          <w:color w:val="525866"/>
          <w:sz w:val="22"/>
        </w:rPr>
        <w:t xml:space="preserve"> — a macro tailwind for GEN's consumer cyber safety business. The identity-first spending priority (Zscaler) is the most directly relevant to GEN's LifeLock and Trust Hub products. The democratization of sophisticated attacks (Check Point) supports demand for consumer-grade protection tools. None of the enterprise-specific growth drivers (SASE, OT security, Zero Trust for enterprises) have direct consumer equivalents, so the read-through is thematic rather than quantitative.</w:t>
      </w:r>
    </w:p>
    <w:p>
      <w:r>
        <w:rPr>
          <w:rFonts w:ascii="Calibri" w:hAnsi="Calibri"/>
          <w:b/>
          <w:color w:val="525866"/>
          <w:sz w:val="22"/>
        </w:rPr>
        <w:t xml:space="preserve">Disclaimer: </w:t>
      </w:r>
      <w:r>
        <w:rPr>
          <w:rFonts w:ascii="Calibri" w:hAnsi="Calibri"/>
          <w:i/>
          <w:color w:val="525866"/>
          <w:sz w:val="22"/>
        </w:rPr>
        <w:t>All peer commentary above is forward-looking and pertains to the peer's own then-current or upcoming reporting quarter (calendar Q2 2026 or FQ4 2026). Prior-quarter results commentary has been excluded. Enterprise-to-consumer relevance limitations are noted for each peer.</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