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ild-earnings-predictions--2026-08-04"/>
    <w:p>
      <w:pPr>
        <w:pStyle w:val="Heading1"/>
      </w:pPr>
      <w:r>
        <w:t xml:space="preserve">GILD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~$7.55B vs. cons $7.37B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Yeztugo (lenacapavir PrEP) Sales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~$300M vs. cons $260M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Trodelvy Sales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~$460M vs. cons $438M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Total Product 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30.4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30.8B vs. cons $30.2B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Yeztugo 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1.1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1.2B vs. cons $1.0B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Underlying (ex-IPR&amp;D charge) Non-GAAP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8.40</m:t>
              </m:r>
              <m:r>
                <m:rPr>
                  <m:sty m:val="p"/>
                </m:rPr>
                <m:t>−</m:t>
              </m:r>
            </m:oMath>
            <w:r>
              <w:t xml:space="preserve">8.60 (implied ex-charge) vs. cons $8.45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HIV Franchise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~8%-9% vs. cons ~8%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GILD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(FOLLOW-THROUGH)</w:t>
            </w:r>
          </w:p>
        </w:tc>
        <w:tc>
          <w:tcPr/>
          <w:p>
            <w:pPr>
              <w:pStyle w:val="Compact"/>
            </w:pPr>
            <w:r>
              <w:t xml:space="preserve">Headline GAAP/non-GAAP EPS loss (~$7/share, already flagged and priced by sophisticated holders) is one-time IPR&amp;D noise, so the market should look through it to a base-business beat (revenue, Yeztugo acceleration, Trodelvy post-approval launch strength) plus a raised FY product-sales and Yeztugo guide; as sell-side models get rebuilt ex-charges over the following days, price targets and estimates should be revised up rather than trimmed, supporting continued buying rather than a fade. Residual risk is that mainstream/retail reaction to the giant GAAP loss headline causes an initial overreaction that needs a day or two to reverse, but underlying fundamentals (HIV durability to 2036, Trodelvy label expansion, imminent BIC/LEN PDUFA, favorable CA Supreme Court ruling) argue for follow-through rather than fade over the week.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2026-08-04T01:32:27Z</dcterms:created>
  <dcterms:modified xsi:type="dcterms:W3CDTF">2026-08-04T01:32:27Z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