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well-sourced earnings preview.I have sufficient information now. Let me write the earnings preview.# Gilead Sciences (GILD) — Q2 2026 Earnings Preview</w:t>
      </w:r>
      <w:r>
        <w:t xml:space="preserve"> </w:t>
      </w:r>
      <w:r>
        <w:rPr>
          <w:b/>
          <w:bCs/>
        </w:rPr>
        <w:t xml:space="preserve">Report Date:</w:t>
      </w:r>
      <w:r>
        <w:t xml:space="preserve"> </w:t>
      </w:r>
      <w:r>
        <w:t xml:space="preserve">Tuesday, August 4,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GILD shares have been range-bound in the</w:t>
      </w:r>
      <w:r>
        <w:t xml:space="preserve"> </w:t>
      </w:r>
      <m:oMath>
        <m:r>
          <m:t>124</m:t>
        </m:r>
        <m:r>
          <m:rPr>
            <m:sty m:val="p"/>
          </m:rPr>
          <m:t>–</m:t>
        </m:r>
      </m:oMath>
      <w:r>
        <w:t xml:space="preserve">136 band since the Q1 report in early May, closing at</w:t>
      </w:r>
      <w:r>
        <w:t xml:space="preserve"> </w:t>
      </w:r>
      <m:oMath>
        <m:r>
          <m:t>131.18</m:t>
        </m:r>
        <m:r>
          <m:t>o</m:t>
        </m:r>
        <m:r>
          <m:t>n</m:t>
        </m:r>
        <m:r>
          <m:t>8</m:t>
        </m:r>
        <m:r>
          <m:rPr>
            <m:sty m:val="p"/>
          </m:rPr>
          <m:t>/</m:t>
        </m:r>
        <m:r>
          <m:t>3</m:t>
        </m:r>
        <m:r>
          <m:rPr>
            <m:sty m:val="p"/>
          </m:rPr>
          <m:t>/</m:t>
        </m:r>
        <m:r>
          <m:t>2026</m:t>
        </m:r>
        <m:r>
          <m:rPr>
            <m:sty m:val="p"/>
          </m:rPr>
          <m:t>*</m:t>
        </m:r>
        <m:r>
          <m:rPr>
            <m:sty m:val="p"/>
          </m:rPr>
          <m:t>*</m:t>
        </m:r>
        <m:r>
          <m:rPr>
            <m:sty m:val="p"/>
          </m:rPr>
          <m:t>,</m:t>
        </m:r>
        <m:r>
          <m:t>r</m:t>
        </m:r>
        <m:r>
          <m:t>o</m:t>
        </m:r>
        <m:r>
          <m:t>u</m:t>
        </m:r>
        <m:r>
          <m:t>g</m:t>
        </m:r>
        <m:r>
          <m:t>h</m:t>
        </m:r>
        <m:r>
          <m:t>l</m:t>
        </m:r>
        <m:r>
          <m:t>y</m:t>
        </m:r>
        <m:r>
          <m:t>f</m:t>
        </m:r>
        <m:r>
          <m:t>l</m:t>
        </m:r>
        <m:r>
          <m:t>a</m:t>
        </m:r>
        <m:r>
          <m:t>t</m:t>
        </m:r>
        <m:r>
          <m:t>o</m:t>
        </m:r>
        <m:r>
          <m:t>v</m:t>
        </m:r>
        <m:r>
          <m:t>e</m:t>
        </m:r>
        <m:r>
          <m:t>r</m:t>
        </m:r>
        <m:r>
          <m:t>t</m:t>
        </m:r>
        <m:r>
          <m:t>h</m:t>
        </m:r>
        <m:r>
          <m:t>e</m:t>
        </m:r>
        <m:r>
          <m:t>p</m:t>
        </m:r>
        <m:r>
          <m:t>a</m:t>
        </m:r>
        <m:r>
          <m:t>s</m:t>
        </m:r>
        <m:r>
          <m:t>t</m:t>
        </m:r>
        <m:r>
          <m:t>m</m:t>
        </m:r>
        <m:r>
          <m:t>o</m:t>
        </m:r>
        <m:r>
          <m:t>n</m:t>
        </m:r>
        <m:r>
          <m:t>t</m:t>
        </m:r>
        <m:r>
          <m:t>h</m:t>
        </m:r>
        <m:r>
          <m:t>b</m:t>
        </m:r>
        <m:r>
          <m:t>u</m:t>
        </m:r>
        <m:r>
          <m:t>t</m:t>
        </m:r>
        <m:r>
          <m:t>s</m:t>
        </m:r>
        <m:r>
          <m:t>t</m:t>
        </m:r>
        <m:r>
          <m:t>i</m:t>
        </m:r>
        <m:r>
          <m:t>l</m:t>
        </m:r>
        <m:r>
          <m:t>l</m:t>
        </m:r>
        <m:r>
          <m:t>u</m:t>
        </m:r>
        <m:r>
          <m:t>p</m:t>
        </m:r>
        <m:r>
          <m:t>m</m:t>
        </m:r>
        <m:r>
          <m:t>e</m:t>
        </m:r>
        <m:r>
          <m:t>a</m:t>
        </m:r>
        <m:r>
          <m:t>n</m:t>
        </m:r>
        <m:r>
          <m:t>i</m:t>
        </m:r>
        <m:r>
          <m:t>n</m:t>
        </m:r>
        <m:r>
          <m:t>g</m:t>
        </m:r>
        <m:r>
          <m:t>f</m:t>
        </m:r>
        <m:r>
          <m:t>u</m:t>
        </m:r>
        <m:r>
          <m:t>l</m:t>
        </m:r>
        <m:r>
          <m:t>l</m:t>
        </m:r>
        <m:r>
          <m:t>y</m:t>
        </m:r>
        <m:r>
          <m:t>y</m:t>
        </m:r>
        <m:r>
          <m:t>e</m:t>
        </m:r>
        <m:r>
          <m:t>a</m:t>
        </m:r>
        <m:r>
          <m:t>r</m:t>
        </m:r>
        <m:r>
          <m:rPr>
            <m:sty m:val="p"/>
          </m:rPr>
          <m:t>−</m:t>
        </m:r>
        <m:r>
          <m:t>t</m:t>
        </m:r>
        <m:r>
          <m:t>o</m:t>
        </m:r>
        <m:r>
          <m:rPr>
            <m:sty m:val="p"/>
          </m:rPr>
          <m:t>−</m:t>
        </m:r>
        <m:r>
          <m:t>d</m:t>
        </m:r>
        <m:r>
          <m:t>a</m:t>
        </m:r>
        <m:r>
          <m:t>t</m:t>
        </m:r>
        <m:r>
          <m:t>e</m:t>
        </m:r>
        <m:r>
          <m:rPr>
            <m:sty m:val="p"/>
          </m:rPr>
          <m:t>.</m:t>
        </m:r>
        <m:r>
          <m:t>O</m:t>
        </m:r>
        <m:r>
          <m:t>p</m:t>
        </m:r>
        <m:r>
          <m:t>t</m:t>
        </m:r>
        <m:r>
          <m:t>i</m:t>
        </m:r>
        <m:r>
          <m:t>o</m:t>
        </m:r>
        <m:r>
          <m:t>n</m:t>
        </m:r>
        <m:r>
          <m:t>s</m:t>
        </m:r>
        <m:r>
          <m:t>m</m:t>
        </m:r>
        <m:r>
          <m:t>a</m:t>
        </m:r>
        <m:r>
          <m:t>r</m:t>
        </m:r>
        <m:r>
          <m:t>k</m:t>
        </m:r>
        <m:r>
          <m:t>e</m:t>
        </m:r>
        <m:r>
          <m:t>t</m:t>
        </m:r>
        <m:r>
          <m:t>s</m:t>
        </m:r>
        <m:r>
          <m:t>a</m:t>
        </m:r>
        <m:r>
          <m:t>r</m:t>
        </m:r>
        <m:r>
          <m:t>e</m:t>
        </m:r>
        <m:r>
          <m:t>p</m:t>
        </m:r>
        <m:r>
          <m:t>r</m:t>
        </m:r>
        <m:r>
          <m:t>i</m:t>
        </m:r>
        <m:r>
          <m:t>c</m:t>
        </m:r>
        <m:r>
          <m:t>i</m:t>
        </m:r>
        <m:r>
          <m:t>n</m:t>
        </m:r>
        <m:r>
          <m:t>g</m:t>
        </m:r>
        <m:r>
          <m:t>a</m:t>
        </m:r>
        <m:r>
          <m:t>r</m:t>
        </m:r>
        <m:r>
          <m:t>e</m:t>
        </m:r>
        <m:r>
          <m:t>l</m:t>
        </m:r>
        <m:r>
          <m:t>a</m:t>
        </m:r>
        <m:r>
          <m:t>t</m:t>
        </m:r>
        <m:r>
          <m:t>i</m:t>
        </m:r>
        <m:r>
          <m:t>v</m:t>
        </m:r>
        <m:r>
          <m:t>e</m:t>
        </m:r>
        <m:r>
          <m:t>l</m:t>
        </m:r>
        <m:r>
          <m:t>y</m:t>
        </m:r>
        <m:r>
          <m:t>m</m:t>
        </m:r>
        <m:r>
          <m:t>o</m:t>
        </m:r>
        <m:r>
          <m:t>d</m:t>
        </m:r>
        <m:r>
          <m:t>e</m:t>
        </m:r>
        <m:r>
          <m:t>s</m:t>
        </m:r>
        <m:r>
          <m:t>t</m:t>
        </m:r>
        <m:r>
          <m:rPr>
            <m:sty m:val="p"/>
          </m:rPr>
          <m:t>*</m:t>
        </m:r>
        <m:r>
          <m:rPr>
            <m:sty m:val="p"/>
          </m:rPr>
          <m:t>*</m:t>
        </m:r>
        <m:r>
          <m:t> </m:t>
        </m:r>
        <m:r>
          <m:t>4.3</m:t>
        </m:r>
      </m:oMath>
      <w:r>
        <w:rPr>
          <w:b/>
          <w:bCs/>
        </w:rPr>
        <w:t xml:space="preserve">150s to ~$159</w:t>
      </w:r>
      <w:r>
        <w:t xml:space="preserve">, implying meaningful upside from current levels, and the stock carries a broadly bullish skew among covering analysts, even though the nearest-term rating consensus is more mixed (Hold-leaning on some models) given the messy GAAP EPS picture this year.</w:t>
      </w:r>
    </w:p>
    <w:p>
      <w:pPr>
        <w:pStyle w:val="BodyText"/>
      </w:pPr>
      <w:r>
        <w:t xml:space="preserve">Headline optics on EPS will look ugly and should be</w:t>
      </w:r>
      <w:r>
        <w:t xml:space="preserve"> </w:t>
      </w:r>
      <w:r>
        <w:rPr>
          <w:b/>
          <w:bCs/>
        </w:rPr>
        <w:t xml:space="preserve">ignored/looked-through</w:t>
      </w:r>
      <w:r>
        <w:t xml:space="preserve"> </w:t>
      </w:r>
      <w:r>
        <w:t xml:space="preserve">by investors — more on that below.</w:t>
      </w:r>
    </w:p>
    <w:bookmarkEnd w:id="9"/>
    <w:bookmarkStart w:id="10" w:name="X215e90817a41c2ccad1f30d6bfbddcc2738fbd3"/>
    <w:p>
      <w:pPr>
        <w:pStyle w:val="Heading2"/>
      </w:pPr>
      <w:r>
        <w:t xml:space="preserve">2. What Consensus Expects</w:t>
      </w:r>
    </w:p>
    <w:p>
      <w:pPr>
        <w:pStyle w:val="Compact"/>
        <w:numPr>
          <w:ilvl w:val="0"/>
          <w:numId w:val="1001"/>
        </w:numPr>
      </w:pPr>
      <w:r>
        <w:rPr>
          <w:b/>
          <w:bCs/>
        </w:rPr>
        <w:t xml:space="preserve">Revenue:</w:t>
      </w:r>
      <w:r>
        <w:t xml:space="preserve"> </w:t>
      </w:r>
      <w:r>
        <w:t xml:space="preserve">Zacks consensus ~</w:t>
      </w:r>
      <w:r>
        <w:rPr>
          <w:b/>
          <w:bCs/>
        </w:rPr>
        <w:t xml:space="preserve">$7.37 billion</w:t>
      </w:r>
      <w:r>
        <w:t xml:space="preserve">, implying roughly</w:t>
      </w:r>
      <w:r>
        <w:t xml:space="preserve"> </w:t>
      </w:r>
      <w:r>
        <w:rPr>
          <w:b/>
          <w:bCs/>
        </w:rPr>
        <w:t xml:space="preserve">+4% year-over-year</w:t>
      </w:r>
      <w:r>
        <w:t xml:space="preserve"> </w:t>
      </w:r>
      <w:r>
        <w:t xml:space="preserve">growth</w:t>
      </w:r>
    </w:p>
    <w:p>
      <w:pPr>
        <w:pStyle w:val="Compact"/>
        <w:numPr>
          <w:ilvl w:val="0"/>
          <w:numId w:val="1001"/>
        </w:numPr>
      </w:pPr>
      <w:r>
        <w:rPr>
          <w:b/>
          <w:bCs/>
        </w:rPr>
        <w:t xml:space="preserve">GAAP/Non-GAAP diluted EPS:</w:t>
      </w:r>
      <w:r>
        <w:t xml:space="preserve"> </w:t>
      </w:r>
      <w:r>
        <w:t xml:space="preserve">Consensus is looking for a</w:t>
      </w:r>
      <w:r>
        <w:t xml:space="preserve"> </w:t>
      </w:r>
      <w:r>
        <w:rPr>
          <w:b/>
          <w:bCs/>
        </w:rPr>
        <w:t xml:space="preserve">loss of roughly</w:t>
      </w:r>
      <w:r>
        <w:rPr>
          <w:b/>
          <w:bCs/>
        </w:rPr>
        <w:t xml:space="preserve"> </w:t>
      </w:r>
      <m:oMath>
        <m:r>
          <m:t>7.07</m:t>
        </m:r>
        <m:r>
          <m:rPr>
            <m:sty m:val="p"/>
          </m:rPr>
          <m:t>–</m:t>
        </m:r>
      </m:oMath>
      <w:r>
        <w:rPr>
          <w:b/>
          <w:bCs/>
        </w:rPr>
        <w:t xml:space="preserve">7.09 per share</w:t>
      </w:r>
      <w:r>
        <w:t xml:space="preserve">, a swing of over 450% versus the</w:t>
      </w:r>
      <w:r>
        <w:t xml:space="preserve"> </w:t>
      </w:r>
      <m:oMath>
        <m:r>
          <m:t>2.01</m:t>
        </m:r>
        <m:r>
          <m:t>p</m:t>
        </m:r>
        <m:r>
          <m:t>r</m:t>
        </m:r>
        <m:r>
          <m:t>o</m:t>
        </m:r>
        <m:r>
          <m:t>f</m:t>
        </m:r>
        <m:r>
          <m:t>i</m:t>
        </m:r>
        <m:r>
          <m:t>t</m:t>
        </m:r>
        <m:r>
          <m:rPr>
            <m:sty m:val="p"/>
          </m:rPr>
          <m:t>*</m:t>
        </m:r>
        <m:r>
          <m:rPr>
            <m:sty m:val="p"/>
          </m:rPr>
          <m:t>*</m:t>
        </m:r>
        <m:r>
          <m:t>i</m:t>
        </m:r>
        <m:r>
          <m:t>n</m:t>
        </m:r>
        <m:r>
          <m:t>Q</m:t>
        </m:r>
        <m:r>
          <m:t>2</m:t>
        </m:r>
        <m:r>
          <m:t>2025</m:t>
        </m:r>
        <m:r>
          <m:rPr>
            <m:sty m:val="p"/>
          </m:rPr>
          <m:t>—</m:t>
        </m:r>
        <m:r>
          <m:t>t</m:t>
        </m:r>
        <m:r>
          <m:t>h</m:t>
        </m:r>
        <m:r>
          <m:t>i</m:t>
        </m:r>
        <m:r>
          <m:t>s</m:t>
        </m:r>
        <m:r>
          <m:t>i</m:t>
        </m:r>
        <m:r>
          <m:t>s</m:t>
        </m:r>
        <m:r>
          <m:t>a</m:t>
        </m:r>
        <m:r>
          <m:t>l</m:t>
        </m:r>
        <m:r>
          <m:t>m</m:t>
        </m:r>
        <m:r>
          <m:t>o</m:t>
        </m:r>
        <m:r>
          <m:t>s</m:t>
        </m:r>
        <m:r>
          <m:t>t</m:t>
        </m:r>
        <m:r>
          <m:t>e</m:t>
        </m:r>
        <m:r>
          <m:t>n</m:t>
        </m:r>
        <m:r>
          <m:t>t</m:t>
        </m:r>
        <m:r>
          <m:t>i</m:t>
        </m:r>
        <m:r>
          <m:t>r</m:t>
        </m:r>
        <m:r>
          <m:t>e</m:t>
        </m:r>
        <m:r>
          <m:t>l</m:t>
        </m:r>
        <m:r>
          <m:t>y</m:t>
        </m:r>
        <m:r>
          <m:t>a</m:t>
        </m:r>
        <m:r>
          <m:t>f</m:t>
        </m:r>
        <m:r>
          <m:t>u</m:t>
        </m:r>
        <m:r>
          <m:t>n</m:t>
        </m:r>
        <m:r>
          <m:t>c</m:t>
        </m:r>
        <m:r>
          <m:t>t</m:t>
        </m:r>
        <m:r>
          <m:t>i</m:t>
        </m:r>
        <m:r>
          <m:t>o</m:t>
        </m:r>
        <m:r>
          <m:t>n</m:t>
        </m:r>
        <m:r>
          <m:t>o</m:t>
        </m:r>
        <m:r>
          <m:t>f</m:t>
        </m:r>
        <m:r>
          <m:t>t</m:t>
        </m:r>
        <m:r>
          <m:t>h</m:t>
        </m:r>
        <m:r>
          <m:t>e</m:t>
        </m:r>
        <m:r>
          <m:rPr>
            <m:sty m:val="p"/>
          </m:rPr>
          <m:t>*</m:t>
        </m:r>
        <m:r>
          <m:rPr>
            <m:sty m:val="p"/>
          </m:rPr>
          <m:t>*</m:t>
        </m:r>
      </m:oMath>
      <w:r>
        <w:rPr>
          <w:b/>
          <w:bCs/>
        </w:rPr>
        <w:t xml:space="preserve">11.5 billion of acquired IPR&amp;D charges</w:t>
      </w:r>
      <w:r>
        <w:t xml:space="preserve"> </w:t>
      </w:r>
      <w:r>
        <w:t xml:space="preserve">tied to the Arcellx, Ouro Medicines and Tubulis deals, plus related financing costs, which management flagged explicitly last quarter would depress full-year EPS by roughly</w:t>
      </w:r>
      <w:r>
        <w:t xml:space="preserve"> </w:t>
      </w:r>
      <w:r>
        <w:rPr>
          <w:b/>
          <w:bCs/>
        </w:rPr>
        <w:t xml:space="preserve">$9.50/share</w:t>
      </w:r>
    </w:p>
    <w:p>
      <w:pPr>
        <w:pStyle w:val="Compact"/>
        <w:numPr>
          <w:ilvl w:val="0"/>
          <w:numId w:val="1001"/>
        </w:numPr>
      </w:pPr>
      <w:r>
        <w:rPr>
          <w:b/>
          <w:bCs/>
        </w:rPr>
        <w:t xml:space="preserve">Key product estimates:</w:t>
      </w:r>
      <w:r>
        <w:t xml:space="preserve"> </w:t>
      </w:r>
      <w:r>
        <w:t xml:space="preserve">Biktarvy ~</w:t>
      </w:r>
      <m:oMath>
        <m:r>
          <m:t>3.6</m:t>
        </m:r>
        <m:r>
          <m:t>B</m:t>
        </m:r>
        <m:r>
          <m:rPr>
            <m:sty m:val="p"/>
          </m:rPr>
          <m:t>,</m:t>
        </m:r>
        <m:r>
          <m:t>D</m:t>
        </m:r>
        <m:r>
          <m:t>e</m:t>
        </m:r>
        <m:r>
          <m:t>s</m:t>
        </m:r>
        <m:r>
          <m:t>c</m:t>
        </m:r>
        <m:r>
          <m:t>o</m:t>
        </m:r>
        <m:r>
          <m:t>v</m:t>
        </m:r>
        <m:r>
          <m:t>y</m:t>
        </m:r>
        <m:r>
          <m:t> </m:t>
        </m:r>
      </m:oMath>
      <w:r>
        <w:t xml:space="preserve">750M, Trodelvy ~$427–448M</w:t>
      </w:r>
    </w:p>
    <w:p>
      <w:pPr>
        <w:pStyle w:val="Compact"/>
        <w:numPr>
          <w:ilvl w:val="0"/>
          <w:numId w:val="1001"/>
        </w:numPr>
      </w:pPr>
      <w:r>
        <w:t xml:space="preserve">Gilead has beaten consensus EPS in</w:t>
      </w:r>
      <w:r>
        <w:t xml:space="preserve"> </w:t>
      </w:r>
      <w:r>
        <w:rPr>
          <w:b/>
          <w:bCs/>
        </w:rPr>
        <w:t xml:space="preserve">three of the last four quarters</w:t>
      </w:r>
      <w:r>
        <w:t xml:space="preserve">, with an average positive surprise around 6.75%, and beat by 7.4% last quarter — though the current setup (large one-time deal charges) makes "beats/misses" on GAAP EPS largely noise this quarter.</w:t>
      </w:r>
    </w:p>
    <w:bookmarkEnd w:id="10"/>
    <w:bookmarkStart w:id="11" w:name="X67c9fefa810c4cd58d4fc245a927522c2baed13"/>
    <w:p>
      <w:pPr>
        <w:pStyle w:val="Heading2"/>
      </w:pPr>
      <w:r>
        <w:t xml:space="preserve">3. The Base Business: Still the Real Story</w:t>
      </w:r>
    </w:p>
    <w:p>
      <w:pPr>
        <w:pStyle w:val="FirstParagraph"/>
      </w:pPr>
      <w:r>
        <w:t xml:space="preserve">Q1 2026 set an upbeat tone that should carry into Q2. In Q1, total revenue rose 4% to $7.0 billion, with</w:t>
      </w:r>
      <w:r>
        <w:t xml:space="preserve"> </w:t>
      </w:r>
      <w:r>
        <w:rPr>
          <w:b/>
          <w:bCs/>
        </w:rPr>
        <w:t xml:space="preserve">product sales excluding Veklury up 8% to $6.8 billion</w:t>
      </w:r>
      <w:r>
        <w:t xml:space="preserve">, HIV sales up 10% to $5.0 billion, and Biktarvy up 7% to</w:t>
      </w:r>
      <w:r>
        <w:t xml:space="preserve"> </w:t>
      </w:r>
      <m:oMath>
        <m:r>
          <m:t>3.4</m:t>
        </m:r>
        <m:r>
          <m:t>b</m:t>
        </m:r>
        <m:r>
          <m:t>i</m:t>
        </m:r>
        <m:r>
          <m:t>l</m:t>
        </m:r>
        <m:r>
          <m:t>l</m:t>
        </m:r>
        <m:r>
          <m:t>i</m:t>
        </m:r>
        <m:r>
          <m:t>o</m:t>
        </m:r>
        <m:r>
          <m:t>n</m:t>
        </m:r>
        <m:r>
          <m:rPr>
            <m:sty m:val="p"/>
          </m:rPr>
          <m:t>.</m:t>
        </m:r>
        <m:r>
          <m:t>M</m:t>
        </m:r>
        <m:r>
          <m:t>a</m:t>
        </m:r>
        <m:r>
          <m:t>n</m:t>
        </m:r>
        <m:r>
          <m:t>a</m:t>
        </m:r>
        <m:r>
          <m:t>g</m:t>
        </m:r>
        <m:r>
          <m:t>e</m:t>
        </m:r>
        <m:r>
          <m:t>m</m:t>
        </m:r>
        <m:r>
          <m:t>e</m:t>
        </m:r>
        <m:r>
          <m:t>n</m:t>
        </m:r>
        <m:r>
          <m:t>t</m:t>
        </m:r>
        <m:r>
          <m:t>r</m:t>
        </m:r>
        <m:r>
          <m:t>a</m:t>
        </m:r>
        <m:r>
          <m:t>i</m:t>
        </m:r>
        <m:r>
          <m:t>s</m:t>
        </m:r>
        <m:r>
          <m:t>e</m:t>
        </m:r>
        <m:r>
          <m:t>d</m:t>
        </m:r>
        <m:r>
          <m:t>f</m:t>
        </m:r>
        <m:r>
          <m:t>u</m:t>
        </m:r>
        <m:r>
          <m:t>l</m:t>
        </m:r>
        <m:r>
          <m:t>l</m:t>
        </m:r>
        <m:r>
          <m:rPr>
            <m:sty m:val="p"/>
          </m:rPr>
          <m:t>−</m:t>
        </m:r>
        <m:r>
          <m:t>y</m:t>
        </m:r>
        <m:r>
          <m:t>e</m:t>
        </m:r>
        <m:r>
          <m:t>a</m:t>
        </m:r>
        <m:r>
          <m:t>r</m:t>
        </m:r>
        <m:r>
          <m:t>b</m:t>
        </m:r>
        <m:r>
          <m:t>a</m:t>
        </m:r>
        <m:r>
          <m:t>s</m:t>
        </m:r>
        <m:r>
          <m:t>e</m:t>
        </m:r>
        <m:r>
          <m:rPr>
            <m:sty m:val="p"/>
          </m:rPr>
          <m:t>−</m:t>
        </m:r>
        <m:r>
          <m:t>b</m:t>
        </m:r>
        <m:r>
          <m:t>u</m:t>
        </m:r>
        <m:r>
          <m:t>s</m:t>
        </m:r>
        <m:r>
          <m:t>i</m:t>
        </m:r>
        <m:r>
          <m:t>n</m:t>
        </m:r>
        <m:r>
          <m:t>e</m:t>
        </m:r>
        <m:r>
          <m:t>s</m:t>
        </m:r>
        <m:r>
          <m:t>s</m:t>
        </m:r>
        <m:r>
          <m:t>r</m:t>
        </m:r>
        <m:r>
          <m:t>e</m:t>
        </m:r>
        <m:r>
          <m:t>v</m:t>
        </m:r>
        <m:r>
          <m:t>e</m:t>
        </m:r>
        <m:r>
          <m:t>n</m:t>
        </m:r>
        <m:r>
          <m:t>u</m:t>
        </m:r>
        <m:r>
          <m:t>e</m:t>
        </m:r>
        <m:r>
          <m:t>g</m:t>
        </m:r>
        <m:r>
          <m:t>u</m:t>
        </m:r>
        <m:r>
          <m:t>i</m:t>
        </m:r>
        <m:r>
          <m:t>d</m:t>
        </m:r>
        <m:r>
          <m:t>a</m:t>
        </m:r>
        <m:r>
          <m:t>n</m:t>
        </m:r>
        <m:r>
          <m:t>c</m:t>
        </m:r>
        <m:r>
          <m:t>e</m:t>
        </m:r>
        <m:r>
          <m:t>t</m:t>
        </m:r>
        <m:r>
          <m:t>o</m:t>
        </m:r>
        <m:r>
          <m:rPr>
            <m:sty m:val="p"/>
          </m:rPr>
          <m:t>*</m:t>
        </m:r>
        <m:r>
          <m:rPr>
            <m:sty m:val="p"/>
          </m:rPr>
          <m:t>*</m:t>
        </m:r>
      </m:oMath>
      <w:r>
        <w:t xml:space="preserve">29.4–$29.8 billion** (from</w:t>
      </w:r>
      <w:r>
        <w:t xml:space="preserve"> </w:t>
      </w:r>
      <m:oMath>
        <m:r>
          <m:t>29.0</m:t>
        </m:r>
        <m:r>
          <m:rPr>
            <m:sty m:val="p"/>
          </m:rPr>
          <m:t>–</m:t>
        </m:r>
      </m:oMath>
      <w:r>
        <w:t xml:space="preserve">29.4 billion) and full-year total product sales guidance to</w:t>
      </w:r>
      <w:r>
        <w:t xml:space="preserve"> </w:t>
      </w:r>
      <m:oMath>
        <m:r>
          <m:t>30.0</m:t>
        </m:r>
        <m:r>
          <m:rPr>
            <m:sty m:val="p"/>
          </m:rPr>
          <m:t>–</m:t>
        </m:r>
      </m:oMath>
      <w:r>
        <w:rPr>
          <w:b/>
          <w:bCs/>
        </w:rPr>
        <w:t xml:space="preserve">30.4 billion</w:t>
      </w:r>
      <w:r>
        <w:t xml:space="preserve">.</w:t>
      </w:r>
    </w:p>
    <w:p>
      <w:pPr>
        <w:pStyle w:val="BodyText"/>
      </w:pPr>
      <w:r>
        <w:rPr>
          <w:b/>
          <w:bCs/>
        </w:rPr>
        <w:t xml:space="preserve">Yeztugo (lenacapavir for PrEP) is the single most important swing factor.</w:t>
      </w:r>
      <w:r>
        <w:t xml:space="preserve"> </w:t>
      </w:r>
      <w:r>
        <w:t xml:space="preserve">After posting</w:t>
      </w:r>
      <w:r>
        <w:t xml:space="preserve"> </w:t>
      </w:r>
      <m:oMath>
        <m:r>
          <m:t>166</m:t>
        </m:r>
        <m:r>
          <m:t>m</m:t>
        </m:r>
        <m:r>
          <m:t>i</m:t>
        </m:r>
        <m:r>
          <m:t>l</m:t>
        </m:r>
        <m:r>
          <m:t>l</m:t>
        </m:r>
        <m:r>
          <m:t>i</m:t>
        </m:r>
        <m:r>
          <m:t>o</m:t>
        </m:r>
        <m:r>
          <m:t>n</m:t>
        </m:r>
        <m:r>
          <m:t>i</m:t>
        </m:r>
        <m:r>
          <m:t>n</m:t>
        </m:r>
        <m:r>
          <m:t>Q</m:t>
        </m:r>
        <m:r>
          <m:t>1</m:t>
        </m:r>
        <m:r>
          <m:rPr>
            <m:sty m:val="p"/>
          </m:rPr>
          <m:t>(</m:t>
        </m:r>
        <m:r>
          <m:t>u</m:t>
        </m:r>
        <m:r>
          <m:t>p</m:t>
        </m:r>
        <m:r>
          <m:t>72</m:t>
        </m:r>
      </m:oMath>
      <w:r>
        <w:t xml:space="preserve">1 billion**, calling out ~95% payer coverage with $0 co-pay for most patients, leadership share in the injectable switch segment, and encouraging early persistency signals. Investors should watch for continued sequential acceleration and updated commentary on naive-patient uptake, DTC campaign impact (launched late February, with 6–12 month lag to full effect), and second/third-injection persistency data.</w:t>
      </w:r>
    </w:p>
    <w:p>
      <w:pPr>
        <w:pStyle w:val="BodyText"/>
      </w:pPr>
      <w:r>
        <w:t xml:space="preserve">HIV overall should keep growing at a high-single-digit clip — management guided full-year HIV growth to</w:t>
      </w:r>
      <w:r>
        <w:t xml:space="preserve"> </w:t>
      </w:r>
      <w:r>
        <w:rPr>
          <w:b/>
          <w:bCs/>
        </w:rPr>
        <w:t xml:space="preserve">~8%</w:t>
      </w:r>
      <w:r>
        <w:t xml:space="preserve"> </w:t>
      </w:r>
      <w:r>
        <w:t xml:space="preserve">(up from 6% previously), net of an estimated</w:t>
      </w:r>
      <w:r>
        <w:t xml:space="preserve"> </w:t>
      </w:r>
      <w:r>
        <w:rPr>
          <w:b/>
          <w:bCs/>
        </w:rPr>
        <w:t xml:space="preserve">~2% headwind</w:t>
      </w:r>
      <w:r>
        <w:t xml:space="preserve"> </w:t>
      </w:r>
      <w:r>
        <w:t xml:space="preserve">from the Medicaid pricing agreement and ACA-subsidy changes. Biktarvy continues to hold</w:t>
      </w:r>
      <w:r>
        <w:t xml:space="preserve"> </w:t>
      </w:r>
      <w:r>
        <w:rPr>
          <w:b/>
          <w:bCs/>
        </w:rPr>
        <w:t xml:space="preserve">&gt;52% U.S. market share</w:t>
      </w:r>
      <w:r>
        <w:t xml:space="preserve"> </w:t>
      </w:r>
      <w:r>
        <w:t xml:space="preserve">with no loss of exclusivity until 2036, a durability underappreciated by bears focused on pipeline competition.</w:t>
      </w:r>
    </w:p>
    <w:bookmarkEnd w:id="11"/>
    <w:bookmarkStart w:id="12" w:name="Xf4b9e7983230481334d956aca10fc3fe11b0a07"/>
    <w:p>
      <w:pPr>
        <w:pStyle w:val="Heading2"/>
      </w:pPr>
      <w:r>
        <w:t xml:space="preserve">4. Oncology: A Real Catalyst Already Landed</w:t>
      </w:r>
    </w:p>
    <w:p>
      <w:pPr>
        <w:pStyle w:val="FirstParagraph"/>
      </w:pPr>
      <w:r>
        <w:t xml:space="preserve">The biggest incremental news since the Q1 print is that</w:t>
      </w:r>
      <w:r>
        <w:t xml:space="preserve"> </w:t>
      </w:r>
      <w:r>
        <w:rPr>
          <w:b/>
          <w:bCs/>
        </w:rPr>
        <w:t xml:space="preserve">Trodelvy received FDA approval on June 24, 2026</w:t>
      </w:r>
      <w:r>
        <w:t xml:space="preserve"> </w:t>
      </w:r>
      <w:r>
        <w:t xml:space="preserve">for first-line metastatic triple-negative breast cancer (both as monotherapy in PD-L1-negative patients and in combination with Keytruda in PD-L1-positive patients) — broadening its label beyond the narrower approval competitor Datroway (AstraZeneca/Daiichi Sankyo) had received about a month earlier. Trodelvy already carried NCCN Category 1 recommendations ahead of approval and was described by management as the leading ADC in second-line mTNBC, up 37% year-over-year in Q1 on demand strength. Investors should look for early launch commentary on first-line uptake and any updated Trodelvy guidance, along with news on the pending</w:t>
      </w:r>
      <w:r>
        <w:t xml:space="preserve"> </w:t>
      </w:r>
      <w:r>
        <w:rPr>
          <w:b/>
          <w:bCs/>
        </w:rPr>
        <w:t xml:space="preserve">EU approval decision</w:t>
      </w:r>
      <w:r>
        <w:t xml:space="preserve"> </w:t>
      </w:r>
      <w:r>
        <w:t xml:space="preserve">and progress in</w:t>
      </w:r>
      <w:r>
        <w:t xml:space="preserve"> </w:t>
      </w:r>
      <w:r>
        <w:rPr>
          <w:b/>
          <w:bCs/>
        </w:rPr>
        <w:t xml:space="preserve">EVOKE-03</w:t>
      </w:r>
      <w:r>
        <w:t xml:space="preserve"> </w:t>
      </w:r>
      <w:r>
        <w:t xml:space="preserve">(first-line NSCLC) and</w:t>
      </w:r>
      <w:r>
        <w:t xml:space="preserve"> </w:t>
      </w:r>
      <w:r>
        <w:rPr>
          <w:b/>
          <w:bCs/>
        </w:rPr>
        <w:t xml:space="preserve">ASCENT-GYN</w:t>
      </w:r>
      <w:r>
        <w:t xml:space="preserve"> </w:t>
      </w:r>
      <w:r>
        <w:t xml:space="preserve">(endometrial cancer), both expected to read out in H2 2026.</w:t>
      </w:r>
    </w:p>
    <w:p>
      <w:pPr>
        <w:pStyle w:val="BodyText"/>
      </w:pPr>
      <w:r>
        <w:t xml:space="preserve">Cell therapy (Yescarta/Tecartus) remains the soft spot — Q1 sales fell 12% year-over-year on</w:t>
      </w:r>
      <w:r>
        <w:t xml:space="preserve"> </w:t>
      </w:r>
      <w:r>
        <w:rPr>
          <w:b/>
          <w:bCs/>
        </w:rPr>
        <w:t xml:space="preserve">in- and out-of-class competition</w:t>
      </w:r>
      <w:r>
        <w:t xml:space="preserve">, and this pressure likely persisted into Q2. The offset is</w:t>
      </w:r>
      <w:r>
        <w:t xml:space="preserve"> </w:t>
      </w:r>
      <w:r>
        <w:rPr>
          <w:b/>
          <w:bCs/>
        </w:rPr>
        <w:t xml:space="preserve">anito-cel</w:t>
      </w:r>
      <w:r>
        <w:t xml:space="preserve">: Gilead closed its</w:t>
      </w:r>
      <w:r>
        <w:t xml:space="preserve"> </w:t>
      </w:r>
      <w:r>
        <w:rPr>
          <w:b/>
          <w:bCs/>
        </w:rPr>
        <w:t xml:space="preserve">$7.8 billion Arcellx acquisition</w:t>
      </w:r>
      <w:r>
        <w:t xml:space="preserve"> </w:t>
      </w:r>
      <w:r>
        <w:t xml:space="preserve">on April 28, and the BLA for anito-cel in 4L+ relapsed/refractory multiple myeloma is under priority review with a</w:t>
      </w:r>
      <w:r>
        <w:t xml:space="preserve"> </w:t>
      </w:r>
      <w:r>
        <w:rPr>
          <w:b/>
          <w:bCs/>
        </w:rPr>
        <w:t xml:space="preserve">PDUFA date of December 23, 2026</w:t>
      </w:r>
      <w:r>
        <w:t xml:space="preserve">. Management has guided that anito-cel revenue should begin in</w:t>
      </w:r>
      <w:r>
        <w:t xml:space="preserve"> </w:t>
      </w:r>
      <w:r>
        <w:rPr>
          <w:b/>
          <w:bCs/>
        </w:rPr>
        <w:t xml:space="preserve">early 2027</w:t>
      </w:r>
      <w:r>
        <w:t xml:space="preserve">, so Q2 numbers will still reflect the base cell therapy competitive drag, but expect updated enrollment/launch-prep commentary on the $3.5 billion 4L+ CAR-T opportunity.</w:t>
      </w:r>
    </w:p>
    <w:bookmarkEnd w:id="12"/>
    <w:bookmarkStart w:id="13" w:name="Xe4bd1bf774272403e11f43d20e42cc2d861a4e7"/>
    <w:p>
      <w:pPr>
        <w:pStyle w:val="Heading2"/>
      </w:pPr>
      <w:r>
        <w:t xml:space="preserve">5. M&amp;A Digestion and the Cost/EPS Bridge</w:t>
      </w:r>
    </w:p>
    <w:p>
      <w:pPr>
        <w:pStyle w:val="FirstParagraph"/>
      </w:pPr>
      <w:r>
        <w:t xml:space="preserve">Gilead has been unusually acquisitive in 2026, closing</w:t>
      </w:r>
      <w:r>
        <w:t xml:space="preserve"> </w:t>
      </w:r>
      <w:r>
        <w:rPr>
          <w:b/>
          <w:bCs/>
        </w:rPr>
        <w:t xml:space="preserve">three deals</w:t>
      </w:r>
      <w:r>
        <w:t xml:space="preserve"> </w:t>
      </w:r>
      <w:r>
        <w:t xml:space="preserve">in quick succession:</w:t>
      </w:r>
    </w:p>
    <w:p>
      <w:pPr>
        <w:pStyle w:val="Compact"/>
        <w:numPr>
          <w:ilvl w:val="0"/>
          <w:numId w:val="1002"/>
        </w:numPr>
      </w:pPr>
      <w:r>
        <w:rPr>
          <w:b/>
          <w:bCs/>
        </w:rPr>
        <w:t xml:space="preserve">Arcellx</w:t>
      </w:r>
      <w:r>
        <w:t xml:space="preserve"> </w:t>
      </w:r>
      <w:r>
        <w:t xml:space="preserve">($7.8B, closed April 28) — anito-cel and the D-domain BCMA binder platform</w:t>
      </w:r>
    </w:p>
    <w:p>
      <w:pPr>
        <w:pStyle w:val="Compact"/>
        <w:numPr>
          <w:ilvl w:val="0"/>
          <w:numId w:val="1002"/>
        </w:numPr>
      </w:pPr>
      <w:r>
        <w:rPr>
          <w:b/>
          <w:bCs/>
        </w:rPr>
        <w:t xml:space="preserve">Ouro Medicines</w:t>
      </w:r>
      <w:r>
        <w:t xml:space="preserve"> </w:t>
      </w:r>
      <w:r>
        <w:t xml:space="preserve">(~$1.675–2.2B upfront, split with Galapagos, closed early June) — gamgertamig, a BCMAxCD3 T-cell engager for autoimmune disease</w:t>
      </w:r>
    </w:p>
    <w:p>
      <w:pPr>
        <w:pStyle w:val="Compact"/>
        <w:numPr>
          <w:ilvl w:val="0"/>
          <w:numId w:val="1002"/>
        </w:numPr>
      </w:pPr>
      <w:r>
        <w:rPr>
          <w:b/>
          <w:bCs/>
        </w:rPr>
        <w:t xml:space="preserve">Tubulis</w:t>
      </w:r>
      <w:r>
        <w:t xml:space="preserve"> </w:t>
      </w:r>
      <w:r>
        <w:t xml:space="preserve">(up to ~$5B, closed May 22) — TUB-040, a NaPi2b-ADC in Phase 1b/2 for ovarian cancer/NSCLC, plus a next-gen ADC platform</w:t>
      </w:r>
    </w:p>
    <w:p>
      <w:pPr>
        <w:pStyle w:val="FirstParagraph"/>
      </w:pPr>
      <w:r>
        <w:t xml:space="preserve">These deals drove the **</w:t>
      </w:r>
      <w:r>
        <w:t xml:space="preserve">$11.5 billion acquired IPR&amp;D charge** and associated financing costs that management said would cut full-year non-GAAP EPS guidance by ~$</w:t>
      </w:r>
      <w:r>
        <w:t xml:space="preserve">9.50/share, taking full-year non-GAAP EPS guidance to</w:t>
      </w:r>
      <w:r>
        <w:t xml:space="preserve"> </w:t>
      </w:r>
      <m:oMath>
        <m:r>
          <m:rPr>
            <m:sty m:val="p"/>
          </m:rPr>
          <m:t>(</m:t>
        </m:r>
        <m:r>
          <m:t>1.05</m:t>
        </m:r>
        <m:r>
          <m:rPr>
            <m:sty m:val="p"/>
          </m:rPr>
          <m:t>)</m:t>
        </m:r>
        <m:r>
          <m:rPr>
            <m:sty m:val="p"/>
          </m:rPr>
          <m:t>–</m:t>
        </m:r>
      </m:oMath>
      <w:r>
        <w:rPr>
          <w:b/>
          <w:bCs/>
        </w:rPr>
        <w:t xml:space="preserve">(0.65)</w:t>
      </w:r>
      <w:r>
        <w:t xml:space="preserve"> </w:t>
      </w:r>
      <w:r>
        <w:t xml:space="preserve">(from</w:t>
      </w:r>
      <w:r>
        <w:t xml:space="preserve"> </w:t>
      </w:r>
      <m:oMath>
        <m:r>
          <m:t>8.45</m:t>
        </m:r>
        <m:r>
          <m:rPr>
            <m:sty m:val="p"/>
          </m:rPr>
          <m:t>–</m:t>
        </m:r>
      </m:oMath>
      <w:r>
        <w:t xml:space="preserve">8.85 previously) even as the</w:t>
      </w:r>
      <w:r>
        <w:t xml:space="preserve"> </w:t>
      </w:r>
      <w:r>
        <w:rPr>
          <w:b/>
          <w:bCs/>
        </w:rPr>
        <w:t xml:space="preserve">underlying (ex-deal) EPS outlook was essentially maintained</w:t>
      </w:r>
      <w:r>
        <w:t xml:space="preserve">, thanks to the $400 million revenue guidance raise offsetting the incremental R&amp;D/SG&amp;A drag. The key thing for investors to reconcile on the call: how much of Q2's R&amp;D/SG&amp;A increase is deal-related (already guided as "modest and manageable") versus underlying investment (e.g., virology manufacturing, Yeztugo commercialization spend), and whether management reiterates that margins should still expand over time despite three deals running through integration simultaneously.</w:t>
      </w:r>
    </w:p>
    <w:p>
      <w:pPr>
        <w:pStyle w:val="BodyText"/>
      </w:pPr>
      <w:r>
        <w:t xml:space="preserve">Watch for:</w:t>
      </w:r>
    </w:p>
    <w:p>
      <w:pPr>
        <w:pStyle w:val="Compact"/>
        <w:numPr>
          <w:ilvl w:val="0"/>
          <w:numId w:val="1003"/>
        </w:numPr>
      </w:pPr>
      <w:r>
        <w:t xml:space="preserve">Confirmation that</w:t>
      </w:r>
      <w:r>
        <w:t xml:space="preserve"> </w:t>
      </w:r>
      <w:r>
        <w:rPr>
          <w:b/>
          <w:bCs/>
        </w:rPr>
        <w:t xml:space="preserve">all three deals have now fully closed</w:t>
      </w:r>
      <w:r>
        <w:t xml:space="preserve"> </w:t>
      </w:r>
      <w:r>
        <w:t xml:space="preserve">and are reflected in reported financials</w:t>
      </w:r>
    </w:p>
    <w:p>
      <w:pPr>
        <w:pStyle w:val="Compact"/>
        <w:numPr>
          <w:ilvl w:val="0"/>
          <w:numId w:val="1003"/>
        </w:numPr>
      </w:pPr>
      <w:r>
        <w:t xml:space="preserve">Any update on capital allocation — Gilead returned</w:t>
      </w:r>
      <w:r>
        <w:t xml:space="preserve"> </w:t>
      </w:r>
      <w:r>
        <w:rPr>
          <w:b/>
          <w:bCs/>
        </w:rPr>
        <w:t xml:space="preserve">&gt;$1.4 billion to shareholders in Q1</w:t>
      </w:r>
      <w:r>
        <w:t xml:space="preserve"> </w:t>
      </w:r>
      <w:r>
        <w:t xml:space="preserve">(including $419M buybacks) and management signaled it's "</w:t>
      </w:r>
      <w:r>
        <w:rPr>
          <w:b/>
          <w:bCs/>
        </w:rPr>
        <w:t xml:space="preserve">less likely to pursue more sizable M&amp;A this year</w:t>
      </w:r>
      <w:r>
        <w:t xml:space="preserve">," focusing instead on integration</w:t>
      </w:r>
    </w:p>
    <w:p>
      <w:pPr>
        <w:pStyle w:val="Compact"/>
        <w:numPr>
          <w:ilvl w:val="0"/>
          <w:numId w:val="1003"/>
        </w:numPr>
      </w:pPr>
      <w:r>
        <w:t xml:space="preserve">Free cash flow trends (Q1 FCF was</w:t>
      </w:r>
      <w:r>
        <w:t xml:space="preserve"> </w:t>
      </w:r>
      <w:r>
        <w:rPr>
          <w:b/>
          <w:bCs/>
        </w:rPr>
        <w:t xml:space="preserve">$2.4 billion</w:t>
      </w:r>
      <w:r>
        <w:t xml:space="preserve">, up from $1.65 billion a year earlier)</w:t>
      </w:r>
    </w:p>
    <w:bookmarkEnd w:id="13"/>
    <w:bookmarkStart w:id="14" w:name="X5dd49382d76755c49fa755095c19c727501fe53"/>
    <w:p>
      <w:pPr>
        <w:pStyle w:val="Heading2"/>
      </w:pPr>
      <w:r>
        <w:t xml:space="preserve">6. Near-Term Catalysts to Frame on the Call</w:t>
      </w:r>
    </w:p>
    <w:p>
      <w:pPr>
        <w:pStyle w:val="Compact"/>
        <w:numPr>
          <w:ilvl w:val="0"/>
          <w:numId w:val="1004"/>
        </w:numPr>
      </w:pPr>
      <w:r>
        <w:rPr>
          <w:b/>
          <w:bCs/>
        </w:rPr>
        <w:t xml:space="preserve">BIC/LEN (bictegravir/lenacapavir) PDUFA date: August 27, 2026</w:t>
      </w:r>
      <w:r>
        <w:t xml:space="preserve"> </w:t>
      </w:r>
      <w:r>
        <w:t xml:space="preserve">— just three weeks after this earnings call. This once-daily single-tablet regimen for virologically suppressed HIV patients is under priority review; expect detailed commentary on launch readiness, pricing/access strategy, and the dual opportunity in the complex-regimen simplification market and the ~20% "switch" market where Biktarvy currently has no offering</w:t>
      </w:r>
    </w:p>
    <w:p>
      <w:pPr>
        <w:pStyle w:val="Compact"/>
        <w:numPr>
          <w:ilvl w:val="0"/>
          <w:numId w:val="1004"/>
        </w:numPr>
      </w:pPr>
      <w:r>
        <w:rPr>
          <w:b/>
          <w:bCs/>
        </w:rPr>
        <w:t xml:space="preserve">ISLEND-1/ISLEND-2</w:t>
      </w:r>
      <w:r>
        <w:t xml:space="preserve"> </w:t>
      </w:r>
      <w:r>
        <w:t xml:space="preserve">(Merck-partnered islatravir/lenacapavir once-weekly oral) hit positive topline Phase 3 results in early June, with ISL/LEN's safety profile broadly comparable to Biktarvy — a future combination-product optionality that could matter for HIV franchise durability</w:t>
      </w:r>
    </w:p>
    <w:p>
      <w:pPr>
        <w:pStyle w:val="Compact"/>
        <w:numPr>
          <w:ilvl w:val="0"/>
          <w:numId w:val="1004"/>
        </w:numPr>
      </w:pPr>
      <w:r>
        <w:rPr>
          <w:b/>
          <w:bCs/>
        </w:rPr>
        <w:t xml:space="preserve">Hepcludex (bulevirtide)</w:t>
      </w:r>
      <w:r>
        <w:t xml:space="preserve"> </w:t>
      </w:r>
      <w:r>
        <w:t xml:space="preserve">U.S. regulatory decision for chronic hepatitis delta virus was expected around Q2</w:t>
      </w:r>
    </w:p>
    <w:p>
      <w:pPr>
        <w:pStyle w:val="Compact"/>
        <w:numPr>
          <w:ilvl w:val="0"/>
          <w:numId w:val="1004"/>
        </w:numPr>
      </w:pPr>
      <w:r>
        <w:rPr>
          <w:b/>
          <w:bCs/>
        </w:rPr>
        <w:t xml:space="preserve">Livdelzi's Phase 3 IDEAL</w:t>
      </w:r>
      <w:r>
        <w:t xml:space="preserve"> </w:t>
      </w:r>
      <w:r>
        <w:t xml:space="preserve">update in PBC patients with incomplete UDCA response is expected in H2 2026</w:t>
      </w:r>
    </w:p>
    <w:p>
      <w:pPr>
        <w:pStyle w:val="Compact"/>
        <w:numPr>
          <w:ilvl w:val="0"/>
          <w:numId w:val="1004"/>
        </w:numPr>
      </w:pPr>
      <w:r>
        <w:t xml:space="preserve">On the legal/regulatory overhang side, California's Supreme Court just ruled (August 3, 2026, on the eve of earnings) in</w:t>
      </w:r>
      <w:r>
        <w:t xml:space="preserve"> </w:t>
      </w:r>
      <w:r>
        <w:rPr>
          <w:b/>
          <w:bCs/>
        </w:rPr>
        <w:t xml:space="preserve">Gilead's favor</w:t>
      </w:r>
      <w:r>
        <w:t xml:space="preserve">, finding the company had no duty to develop a "safer" HIV alternative sooner — a decision affecting claims from an estimated 24,000 HIV patients and removing a long-running tail risk given that HIV drugs represent roughly 70% of Gilead's revenue base.</w:t>
      </w:r>
    </w:p>
    <w:bookmarkEnd w:id="14"/>
    <w:bookmarkStart w:id="15" w:name="X16448ab684ef14a4ab80a23f7681e3c009a9150"/>
    <w:p>
      <w:pPr>
        <w:pStyle w:val="Heading2"/>
      </w:pPr>
      <w:r>
        <w:t xml:space="preserve">7. What To Listen For on the Call</w:t>
      </w:r>
    </w:p>
    <w:p>
      <w:pPr>
        <w:pStyle w:val="Compact"/>
        <w:numPr>
          <w:ilvl w:val="0"/>
          <w:numId w:val="1005"/>
        </w:numPr>
      </w:pPr>
      <w:r>
        <w:rPr>
          <w:b/>
          <w:bCs/>
        </w:rPr>
        <w:t xml:space="preserve">Yeztugo trajectory</w:t>
      </w:r>
      <w:r>
        <w:t xml:space="preserve"> </w:t>
      </w:r>
      <w:r>
        <w:t xml:space="preserve">— sequential growth rate, naive vs. switch mix, and whether the $1B full-year guide still looks conservative</w:t>
      </w:r>
    </w:p>
    <w:p>
      <w:pPr>
        <w:pStyle w:val="Compact"/>
        <w:numPr>
          <w:ilvl w:val="0"/>
          <w:numId w:val="1005"/>
        </w:numPr>
      </w:pPr>
      <w:r>
        <w:rPr>
          <w:b/>
          <w:bCs/>
        </w:rPr>
        <w:t xml:space="preserve">Trodelvy first-line launch metrics</w:t>
      </w:r>
      <w:r>
        <w:t xml:space="preserve"> </w:t>
      </w:r>
      <w:r>
        <w:t xml:space="preserve">— early uptake signals just five weeks post-approval</w:t>
      </w:r>
    </w:p>
    <w:p>
      <w:pPr>
        <w:pStyle w:val="Compact"/>
        <w:numPr>
          <w:ilvl w:val="0"/>
          <w:numId w:val="1005"/>
        </w:numPr>
      </w:pPr>
      <w:r>
        <w:rPr>
          <w:b/>
          <w:bCs/>
        </w:rPr>
        <w:t xml:space="preserve">Updated full-year guidance</w:t>
      </w:r>
      <w:r>
        <w:t xml:space="preserve"> </w:t>
      </w:r>
      <w:r>
        <w:t xml:space="preserve">— any further raise to the</w:t>
      </w:r>
      <w:r>
        <w:t xml:space="preserve"> </w:t>
      </w:r>
      <m:oMath>
        <m:r>
          <m:t>30.0</m:t>
        </m:r>
        <m:r>
          <m:rPr>
            <m:sty m:val="p"/>
          </m:rPr>
          <m:t>–</m:t>
        </m:r>
      </m:oMath>
      <w:r>
        <w:t xml:space="preserve">30.4B product sales range, and clarity on the underlying (ex-charges) EPS trajectory</w:t>
      </w:r>
    </w:p>
    <w:p>
      <w:pPr>
        <w:pStyle w:val="Compact"/>
        <w:numPr>
          <w:ilvl w:val="0"/>
          <w:numId w:val="1005"/>
        </w:numPr>
      </w:pPr>
      <w:r>
        <w:rPr>
          <w:b/>
          <w:bCs/>
        </w:rPr>
        <w:t xml:space="preserve">Cell therapy competitive dynamics</w:t>
      </w:r>
      <w:r>
        <w:t xml:space="preserve"> </w:t>
      </w:r>
      <w:r>
        <w:t xml:space="preserve">— stabilization signs for Yescarta/Tecartus ahead of the anito-cel 2027 ramp</w:t>
      </w:r>
    </w:p>
    <w:p>
      <w:pPr>
        <w:pStyle w:val="Compact"/>
        <w:numPr>
          <w:ilvl w:val="0"/>
          <w:numId w:val="1005"/>
        </w:numPr>
      </w:pPr>
      <w:r>
        <w:rPr>
          <w:b/>
          <w:bCs/>
        </w:rPr>
        <w:t xml:space="preserve">Integration costs and margin cadence</w:t>
      </w:r>
      <w:r>
        <w:t xml:space="preserve"> </w:t>
      </w:r>
      <w:r>
        <w:t xml:space="preserve">for Arcellx/Ouro/Tubulis, and confirmation on capital deployment priorities (buybacks/dividend vs. further BD)</w:t>
      </w:r>
    </w:p>
    <w:p>
      <w:pPr>
        <w:pStyle w:val="Compact"/>
        <w:numPr>
          <w:ilvl w:val="0"/>
          <w:numId w:val="1005"/>
        </w:numPr>
      </w:pPr>
      <w:r>
        <w:rPr>
          <w:b/>
          <w:bCs/>
        </w:rPr>
        <w:t xml:space="preserve">BIC/LEN launch preparation</w:t>
      </w:r>
      <w:r>
        <w:t xml:space="preserve"> </w:t>
      </w:r>
      <w:r>
        <w:t xml:space="preserve">ahead of the imminent August 27 PDUFA date</w:t>
      </w:r>
    </w:p>
    <w:bookmarkEnd w:id="15"/>
    <w:bookmarkStart w:id="16" w:name="bottom-line"/>
    <w:p>
      <w:pPr>
        <w:pStyle w:val="Heading2"/>
      </w:pPr>
      <w:r>
        <w:t xml:space="preserve">Bottom Line</w:t>
      </w:r>
    </w:p>
    <w:p>
      <w:pPr>
        <w:pStyle w:val="FirstParagraph"/>
      </w:pPr>
      <w:r>
        <w:t xml:space="preserve">The headline</w:t>
      </w:r>
      <w:r>
        <w:t xml:space="preserve"> </w:t>
      </w:r>
      <w:r>
        <w:rPr>
          <w:b/>
          <w:bCs/>
        </w:rPr>
        <w:t xml:space="preserve">GAAP/non-GAAP EPS loss</w:t>
      </w:r>
      <w:r>
        <w:t xml:space="preserve"> </w:t>
      </w:r>
      <w:r>
        <w:t xml:space="preserve">investors will see Tuesday is a function of one-time acquisition accounting, not operating deterioration — the underlying base business (ex-Veklury) has been growing at a high-single-digit clip, HIV franchise durability looks intact through 2036, Yeztugo is tracking toward blockbuster status in year one, and Trodelvy just landed a major label expansion. The debate for the stock is less about this quarter's print and more about (1) whether Yeztugo's growth trajectory continues to surprise to the upside, (2) how quickly the newly acquired oncology/inflammation assets (anito-cel, TUB-040, gamgertamig) can begin contributing post-2026, and (3) execution on the imminent BIC/LEN launch just weeks away.</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2026-08-04T01:32:27Z</dcterms:created>
  <dcterms:modified xsi:type="dcterms:W3CDTF">2026-08-04T01:32:27Z</dcterms:modified>
</cp:coreProperties>
</file>

<file path=docProps/custom.xml><?xml version="1.0" encoding="utf-8"?>
<Properties xmlns="http://schemas.openxmlformats.org/officeDocument/2006/custom-properties" xmlns:vt="http://schemas.openxmlformats.org/officeDocument/2006/docPropsVTypes"/>
</file>