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ild-earnings-predictions--2026-08-04"/>
    <w:p>
      <w:pPr>
        <w:pStyle w:val="Heading1"/>
      </w:pPr>
      <w:r>
        <w:t xml:space="preserve">GILD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~$7.49B vs. cons $7.40B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Yeztugo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~$245M vs. cons $225M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Biktarvy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~$3.76B vs. cons $3.70B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product-sales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~$30.4B vs. cons $30.3B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Yeztugo sales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~$1.10B vs. cons $1.05B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underlying non-GAAP EPS excluding transaction effects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~$8.65 vs. cons $8.75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+1.1% (FADE)</w:t>
            </w:r>
          </w:p>
        </w:tc>
        <w:tc>
          <w:tcPr/>
          <w:p>
            <w:pPr>
              <w:pStyle w:val="Compact"/>
            </w:pPr>
            <w:r>
              <w:t xml:space="preserve">Initial upside from Yeztugo, Biktarvy and the product-sales raise fades as unchanged underlying EPS guidance versus ~$8.75 consensus implies higher second-half launch and acquired-pipeline spending; the predicted 5-day residual is ~+1.1% versus a ~+2.5% day-1 residual.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2026-08-04T01:32:14Z</dcterms:created>
  <dcterms:modified xsi:type="dcterms:W3CDTF">2026-08-04T01:32:14Z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