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ild-earnings-predictions--2026-08-04"/>
    <w:p>
      <w:pPr>
        <w:pStyle w:val="Heading1"/>
      </w:pPr>
      <w:r>
        <w:t xml:space="preserve">GILD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Yeztugo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~$245M vs. cons $227M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HIV 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~$5,480M vs. cons $5,396M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Trodelvy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~$415M vs. cons $425M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Product Sales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~$30.5-30.8B vs. cons $30.42B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Yeztugo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~$1.05-1.10B vs. cons $1.050B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HIV Total Sales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YoY vs. cons ~8% YoY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Veklury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~$600M vs. cons $582M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(FADE)</w:t>
            </w:r>
          </w:p>
        </w:tc>
        <w:tc>
          <w:tcPr/>
          <w:p>
            <w:pPr>
              <w:pStyle w:val="Compact"/>
            </w:pPr>
            <w:r>
              <w:t xml:space="preserve">FADE — Archetype A low-bar quarters historically fade 5-day as sell-side digests modest raise; Trodelvy miss and slightly negative HIV revision trend limit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2026-08-07T02:02:56Z</dcterms:created>
  <dcterms:modified xsi:type="dcterms:W3CDTF">2026-08-07T02:02:56Z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