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GPN (Global Payments) to build a comprehensive earnings preview. Let me start by gathering recent filings, transcripts, news, and price data.Let me read the most recent earnings materials and get recent news context.Let me get recent news and analyst expectations context.I have what I need. Let me write the preview.</w:t>
      </w:r>
    </w:p>
    <w:bookmarkStart w:id="16" w:name="X5d7167a0e44f189094769909b461334a5d9f5df"/>
    <w:p>
      <w:pPr>
        <w:pStyle w:val="Heading1"/>
      </w:pPr>
      <w:r>
        <w:t xml:space="preserve">Global Payments (GPN) — Q2 2026 Earnings Preview</w:t>
      </w:r>
    </w:p>
    <w:bookmarkStart w:id="9" w:name="Xf2044b82ead2133ffba19034b48bc10a9911cc1"/>
    <w:p>
      <w:pPr>
        <w:pStyle w:val="Heading3"/>
      </w:pPr>
      <w:r>
        <w:t xml:space="preserve">Reports Wednesday, August 5, 2026 (before market open) · Conference call 8:00 a.m. ET</w:t>
      </w:r>
    </w:p>
    <w:p>
      <w:r>
        <w:pict>
          <v:rect style="width:0;height:1.5pt" o:hralign="center" o:hrstd="t" o:hr="t"/>
        </w:pict>
      </w:r>
    </w:p>
    <w:bookmarkEnd w:id="9"/>
    <w:bookmarkStart w:id="10" w:name="the-one-line-setup"/>
    <w:p>
      <w:pPr>
        <w:pStyle w:val="Heading2"/>
      </w:pPr>
      <w:r>
        <w:t xml:space="preserve">The one-line setup</w:t>
      </w:r>
    </w:p>
    <w:p>
      <w:pPr>
        <w:pStyle w:val="FirstParagraph"/>
      </w:pPr>
      <w:r>
        <w:t xml:space="preserve">GPN heads into its second print as the "new" Global Payments — a pure-play commerce company that closed the ~$24B Worldpay acquisition on January 9, 2026 and simultaneously divested Issuer Solutions to FIS. Q1 (its first combined quarter) beat and management reaffirmed full-year guidance. Now the market wants proof the integration is on track, and it wants its</w:t>
      </w:r>
      <w:r>
        <w:t xml:space="preserve"> </w:t>
      </w:r>
      <w:r>
        <w:rPr>
          <w:b/>
          <w:bCs/>
        </w:rPr>
        <w:t xml:space="preserve">first look at the new segment structure</w:t>
      </w:r>
      <w:r>
        <w:t xml:space="preserve">. Notably, the stock has ripped into the print, which raises the bar.</w:t>
      </w:r>
    </w:p>
    <w:p>
      <w:r>
        <w:pict>
          <v:rect style="width:0;height:1.5pt" o:hralign="center" o:hrstd="t" o:hr="t"/>
        </w:pict>
      </w:r>
    </w:p>
    <w:bookmarkEnd w:id="10"/>
    <w:bookmarkStart w:id="11" w:name="what-the-street-expects-q2-2026"/>
    <w:p>
      <w:pPr>
        <w:pStyle w:val="Heading2"/>
      </w:pPr>
      <w:r>
        <w:t xml:space="preserve">What the Street expects (Q2 2026)</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Consensus</w:t>
            </w:r>
          </w:p>
        </w:tc>
        <w:tc>
          <w:tcPr/>
          <w:p>
            <w:pPr>
              <w:pStyle w:val="Compact"/>
            </w:pPr>
            <w:r>
              <w:t xml:space="preserve">Y/Y</w:t>
            </w:r>
          </w:p>
        </w:tc>
      </w:tr>
      <w:tr>
        <w:tc>
          <w:tcPr/>
          <w:p>
            <w:pPr>
              <w:pStyle w:val="Compact"/>
            </w:pPr>
            <w:r>
              <w:t xml:space="preserve">Adjusted EPS</w:t>
            </w:r>
          </w:p>
        </w:tc>
        <w:tc>
          <w:tcPr/>
          <w:p>
            <w:pPr>
              <w:pStyle w:val="Compact"/>
            </w:pPr>
            <w:r>
              <w:t xml:space="preserve">~</w:t>
            </w:r>
            <m:oMath>
              <m:r>
                <m:t>3.44</m:t>
              </m:r>
              <m:r>
                <m:rPr>
                  <m:sty m:val="p"/>
                </m:rPr>
                <m:t>–</m:t>
              </m:r>
            </m:oMath>
            <w:r>
              <w:t xml:space="preserve">3.46</w:t>
            </w:r>
          </w:p>
        </w:tc>
        <w:tc>
          <w:tcPr/>
          <w:p>
            <w:pPr>
              <w:pStyle w:val="Compact"/>
            </w:pPr>
            <w:r>
              <w:t xml:space="preserve">+~11–12%</w:t>
            </w:r>
          </w:p>
        </w:tc>
      </w:tr>
      <w:tr>
        <w:tc>
          <w:tcPr/>
          <w:p>
            <w:pPr>
              <w:pStyle w:val="Compact"/>
            </w:pPr>
            <w:r>
              <w:t xml:space="preserve">Revenue (adj. net)</w:t>
            </w:r>
          </w:p>
        </w:tc>
        <w:tc>
          <w:tcPr/>
          <w:p>
            <w:pPr>
              <w:pStyle w:val="Compact"/>
            </w:pPr>
            <w:r>
              <w:t xml:space="preserve">~</w:t>
            </w:r>
            <m:oMath>
              <m:r>
                <m:t>3.16</m:t>
              </m:r>
              <m:r>
                <m:rPr>
                  <m:sty m:val="p"/>
                </m:rPr>
                <m:t>–</m:t>
              </m:r>
            </m:oMath>
            <w:r>
              <w:t xml:space="preserve">3.17B</w:t>
            </w:r>
          </w:p>
        </w:tc>
        <w:tc>
          <w:tcPr/>
          <w:p>
            <w:pPr>
              <w:pStyle w:val="Compact"/>
            </w:pPr>
            <w:r>
              <w:t xml:space="preserve">—</w:t>
            </w:r>
          </w:p>
        </w:tc>
      </w:tr>
      <w:tr>
        <w:tc>
          <w:tcPr/>
          <w:p>
            <w:pPr>
              <w:pStyle w:val="Compact"/>
            </w:pPr>
            <w:r>
              <w:t xml:space="preserve">FY26 Adjusted EPS (guide)</w:t>
            </w:r>
          </w:p>
        </w:tc>
        <w:tc>
          <w:tcPr/>
          <w:p>
            <w:pPr>
              <w:pStyle w:val="Compact"/>
            </w:pPr>
            <m:oMath>
              <m:r>
                <m:t>13.80</m:t>
              </m:r>
              <m:r>
                <m:rPr>
                  <m:sty m:val="p"/>
                </m:rPr>
                <m:t>–</m:t>
              </m:r>
            </m:oMath>
            <w:r>
              <w:t xml:space="preserve">14.00</w:t>
            </w:r>
          </w:p>
        </w:tc>
        <w:tc>
          <w:tcPr/>
          <w:p>
            <w:pPr>
              <w:pStyle w:val="Compact"/>
            </w:pPr>
            <w:r>
              <w:t xml:space="preserve">Consensus ~</w:t>
            </w:r>
            <m:oMath>
              <m:r>
                <m:t>13.84</m:t>
              </m:r>
              <m:r>
                <m:rPr>
                  <m:sty m:val="p"/>
                </m:rPr>
                <m:t>–</m:t>
              </m:r>
            </m:oMath>
            <w:r>
              <w:t xml:space="preserve">13.86</w:t>
            </w:r>
          </w:p>
        </w:tc>
      </w:tr>
    </w:tbl>
    <w:p>
      <w:pPr>
        <w:pStyle w:val="Compact"/>
        <w:numPr>
          <w:ilvl w:val="0"/>
          <w:numId w:val="1001"/>
        </w:numPr>
      </w:pPr>
      <w:r>
        <w:t xml:space="preserve">Full-year consensus (~</w:t>
      </w:r>
      <m:oMath>
        <m:r>
          <m:t>13.86</m:t>
        </m:r>
        <m:r>
          <m:rPr>
            <m:sty m:val="p"/>
          </m:rPr>
          <m:t>)</m:t>
        </m:r>
        <m:r>
          <m:t>s</m:t>
        </m:r>
        <m:r>
          <m:t>i</m:t>
        </m:r>
        <m:r>
          <m:t>t</m:t>
        </m:r>
        <m:r>
          <m:t>s</m:t>
        </m:r>
        <m:r>
          <m:t>r</m:t>
        </m:r>
        <m:r>
          <m:t>i</m:t>
        </m:r>
        <m:r>
          <m:t>g</m:t>
        </m:r>
        <m:r>
          <m:t>h</m:t>
        </m:r>
        <m:r>
          <m:t>t</m:t>
        </m:r>
        <m:r>
          <m:t>i</m:t>
        </m:r>
        <m:r>
          <m:t>n</m:t>
        </m:r>
        <m:r>
          <m:t>t</m:t>
        </m:r>
        <m:r>
          <m:t>h</m:t>
        </m:r>
        <m:r>
          <m:t>e</m:t>
        </m:r>
        <m:r>
          <m:t>m</m:t>
        </m:r>
        <m:r>
          <m:t>i</m:t>
        </m:r>
        <m:r>
          <m:t>d</m:t>
        </m:r>
        <m:r>
          <m:t>d</m:t>
        </m:r>
        <m:r>
          <m:t>l</m:t>
        </m:r>
        <m:r>
          <m:t>e</m:t>
        </m:r>
        <m:r>
          <m:t>o</m:t>
        </m:r>
        <m:r>
          <m:t>f</m:t>
        </m:r>
        <m:r>
          <m:t>m</m:t>
        </m:r>
        <m:r>
          <m:t>a</m:t>
        </m:r>
        <m:r>
          <m:t>n</m:t>
        </m:r>
        <m:r>
          <m:t>a</m:t>
        </m:r>
        <m:r>
          <m:t>g</m:t>
        </m:r>
        <m:r>
          <m:t>e</m:t>
        </m:r>
        <m:r>
          <m:t>m</m:t>
        </m:r>
        <m:r>
          <m:t>e</m:t>
        </m:r>
        <m:r>
          <m:t>n</m:t>
        </m:r>
        <m:sSup>
          <m:e>
            <m:r>
              <m:t>t</m:t>
            </m:r>
          </m:e>
          <m:sup>
            <m:r>
              <m:rPr>
                <m:sty m:val="p"/>
              </m:rPr>
              <m:t>′</m:t>
            </m:r>
          </m:sup>
        </m:sSup>
        <m:r>
          <m:t>s</m:t>
        </m:r>
        <m:r>
          <m:t>r</m:t>
        </m:r>
        <m:r>
          <m:t>e</m:t>
        </m:r>
        <m:r>
          <m:t>a</m:t>
        </m:r>
        <m:r>
          <m:t>f</m:t>
        </m:r>
        <m:r>
          <m:t>f</m:t>
        </m:r>
        <m:r>
          <m:t>i</m:t>
        </m:r>
        <m:r>
          <m:t>r</m:t>
        </m:r>
        <m:r>
          <m:t>m</m:t>
        </m:r>
        <m:r>
          <m:t>e</m:t>
        </m:r>
        <m:r>
          <m:t>d</m:t>
        </m:r>
        <m:r>
          <m:rPr>
            <m:sty m:val="p"/>
          </m:rPr>
          <m:t>*</m:t>
        </m:r>
        <m:r>
          <m:rPr>
            <m:sty m:val="p"/>
          </m:rPr>
          <m:t>*</m:t>
        </m:r>
      </m:oMath>
      <w:r>
        <w:t xml:space="preserve">13.80–$14.00** guide, so the print is more about</w:t>
      </w:r>
      <w:r>
        <w:t xml:space="preserve"> </w:t>
      </w:r>
      <w:r>
        <w:rPr>
          <w:i/>
          <w:iCs/>
        </w:rPr>
        <w:t xml:space="preserve">derisking the second half</w:t>
      </w:r>
      <w:r>
        <w:t xml:space="preserve"> </w:t>
      </w:r>
      <w:r>
        <w:t xml:space="preserve">than the headline number.</w:t>
      </w:r>
    </w:p>
    <w:p>
      <w:pPr>
        <w:pStyle w:val="Compact"/>
        <w:numPr>
          <w:ilvl w:val="0"/>
          <w:numId w:val="1001"/>
        </w:numPr>
      </w:pPr>
      <w:r>
        <w:rPr>
          <w:b/>
          <w:bCs/>
        </w:rPr>
        <w:t xml:space="preserve">Watch estimate momentum:</w:t>
      </w:r>
      <w:r>
        <w:t xml:space="preserve"> </w:t>
      </w:r>
      <w:r>
        <w:t xml:space="preserve">heading in, near-term revisions skewed negative (reportedly ~6 downward, 0 upward over 60 days), even as the FY number nudged up slightly. That tension — cautious near term, constructive full year — is the crux of the setup.</w:t>
      </w:r>
    </w:p>
    <w:p>
      <w:pPr>
        <w:pStyle w:val="Compact"/>
        <w:numPr>
          <w:ilvl w:val="0"/>
          <w:numId w:val="1001"/>
        </w:numPr>
      </w:pPr>
      <w:r>
        <w:t xml:space="preserve">Sell-side stance: consensus "Buy," average price target in the mid-$90s.</w:t>
      </w:r>
    </w:p>
    <w:p>
      <w:r>
        <w:pict>
          <v:rect style="width:0;height:1.5pt" o:hralign="center" o:hrstd="t" o:hr="t"/>
        </w:pict>
      </w:r>
    </w:p>
    <w:bookmarkEnd w:id="11"/>
    <w:bookmarkStart w:id="12" w:name="price-action--a-hot-stock-into-the-print"/>
    <w:p>
      <w:pPr>
        <w:pStyle w:val="Heading2"/>
      </w:pPr>
      <w:r>
        <w:t xml:space="preserve">Price action — a hot stock into the print</w:t>
      </w:r>
    </w:p>
    <w:p>
      <w:pPr>
        <w:pStyle w:val="FirstParagraph"/>
      </w:pPr>
      <w:r>
        <w:t xml:space="preserve">This is the most important context for how the report trades:</w:t>
      </w:r>
    </w:p>
    <w:p>
      <w:pPr>
        <w:pStyle w:val="Compact"/>
        <w:numPr>
          <w:ilvl w:val="0"/>
          <w:numId w:val="1002"/>
        </w:numPr>
      </w:pPr>
      <w:r>
        <w:t xml:space="preserve">GPN closed</w:t>
      </w:r>
      <w:r>
        <w:t xml:space="preserve"> </w:t>
      </w:r>
      <w:r>
        <w:rPr>
          <w:b/>
          <w:bCs/>
        </w:rPr>
        <w:t xml:space="preserve">~</w:t>
      </w:r>
      <m:oMath>
        <m:r>
          <m:t>88.3</m:t>
        </m:r>
        <m:r>
          <m:t>o</m:t>
        </m:r>
        <m:r>
          <m:t>n</m:t>
        </m:r>
        <m:r>
          <m:t>A</m:t>
        </m:r>
        <m:r>
          <m:t>u</m:t>
        </m:r>
        <m:r>
          <m:t>g</m:t>
        </m:r>
        <m:r>
          <m:t>4</m:t>
        </m:r>
        <m:r>
          <m:rPr>
            <m:sty m:val="p"/>
          </m:rPr>
          <m:t>*</m:t>
        </m:r>
        <m:r>
          <m:rPr>
            <m:sty m:val="p"/>
          </m:rPr>
          <m:t>*</m:t>
        </m:r>
        <m:r>
          <m:rPr>
            <m:sty m:val="p"/>
          </m:rPr>
          <m:t>,</m:t>
        </m:r>
        <m:r>
          <m:t>u</m:t>
        </m:r>
        <m:r>
          <m:t>p</m:t>
        </m:r>
        <m:r>
          <m:rPr>
            <m:sty m:val="p"/>
          </m:rPr>
          <m:t>*</m:t>
        </m:r>
        <m:r>
          <m:rPr>
            <m:sty m:val="p"/>
          </m:rPr>
          <m:t>*</m:t>
        </m:r>
        <m:r>
          <m:t> </m:t>
        </m:r>
        <m:r>
          <m:t>12</m:t>
        </m:r>
      </m:oMath>
      <w:r>
        <w:rPr>
          <w:b/>
          <w:bCs/>
        </w:rPr>
        <w:t xml:space="preserve">78 on July 22) and up **~40% off the early-June low near $62</w:t>
      </w:r>
      <w:r>
        <w:t xml:space="preserve">.</w:t>
      </w:r>
    </w:p>
    <w:p>
      <w:pPr>
        <w:pStyle w:val="Compact"/>
        <w:numPr>
          <w:ilvl w:val="0"/>
          <w:numId w:val="1002"/>
        </w:numPr>
      </w:pPr>
      <w:r>
        <w:t xml:space="preserve">Over the past year the stock is only modestly higher (~</w:t>
      </w:r>
      <m:oMath>
        <m:r>
          <m:t>78</m:t>
        </m:r>
        <m:r>
          <m:rPr>
            <m:sty m:val="p"/>
          </m:rPr>
          <m:t>→</m:t>
        </m:r>
        <m:r>
          <m:t> </m:t>
        </m:r>
      </m:oMath>
      <w:r>
        <w:t xml:space="preserve">88), but it has</w:t>
      </w:r>
      <w:r>
        <w:t xml:space="preserve"> </w:t>
      </w:r>
      <w:r>
        <w:rPr>
          <w:b/>
          <w:bCs/>
        </w:rPr>
        <w:t xml:space="preserve">dramatically outperformed peers</w:t>
      </w:r>
      <w:r>
        <w:t xml:space="preserve">: Fiserv (FI) collapsed from ~</w:t>
      </w:r>
      <m:oMath>
        <m:r>
          <m:t>135</m:t>
        </m:r>
        <m:r>
          <m:t>t</m:t>
        </m:r>
        <m:r>
          <m:t>o</m:t>
        </m:r>
        <m:r>
          <m:t>t</m:t>
        </m:r>
        <m:r>
          <m:t>h</m:t>
        </m:r>
        <m:r>
          <m:t>e</m:t>
        </m:r>
        <m:r>
          <m:t>l</m:t>
        </m:r>
        <m:r>
          <m:t>o</m:t>
        </m:r>
        <m:r>
          <m:t>w</m:t>
        </m:r>
        <m:r>
          <m:rPr>
            <m:sty m:val="p"/>
          </m:rPr>
          <m:t>−</m:t>
        </m:r>
      </m:oMath>
      <w:r>
        <w:t xml:space="preserve">50s and FIS fell from ~</w:t>
      </w:r>
      <m:oMath>
        <m:r>
          <m:t>78</m:t>
        </m:r>
        <m:r>
          <m:t>t</m:t>
        </m:r>
        <m:r>
          <m:t>o</m:t>
        </m:r>
        <m:r>
          <m:t>t</m:t>
        </m:r>
        <m:r>
          <m:t>h</m:t>
        </m:r>
        <m:r>
          <m:t>e</m:t>
        </m:r>
        <m:r>
          <m:t>m</m:t>
        </m:r>
        <m:r>
          <m:t>i</m:t>
        </m:r>
        <m:r>
          <m:t>d</m:t>
        </m:r>
        <m:r>
          <m:rPr>
            <m:sty m:val="p"/>
          </m:rPr>
          <m:t>−</m:t>
        </m:r>
      </m:oMath>
      <w:r>
        <w:t xml:space="preserve">40s over the same window. GPN has increasingly been the "least broken" name in a battered processor group.</w:t>
      </w:r>
    </w:p>
    <w:p>
      <w:pPr>
        <w:pStyle w:val="Compact"/>
        <w:numPr>
          <w:ilvl w:val="0"/>
          <w:numId w:val="1002"/>
        </w:numPr>
      </w:pPr>
      <w:r>
        <w:t xml:space="preserve">GPN has also popped on its last several prints (up double digits after both the Q4'25 and Q2'25 reports).</w:t>
      </w:r>
      <w:r>
        <w:t xml:space="preserve"> </w:t>
      </w:r>
      <w:r>
        <w:rPr>
          <w:b/>
          <w:bCs/>
        </w:rPr>
        <w:t xml:space="preserve">The combination of a sharp pre-earnings rally + recent positive reactions means expectations are elevated</w:t>
      </w:r>
      <w:r>
        <w:t xml:space="preserve"> </w:t>
      </w:r>
      <w:r>
        <w:t xml:space="preserve">— a strong quarter may already be partly priced, and any integration/guidance wobble could see profit-taking.</w:t>
      </w:r>
    </w:p>
    <w:p>
      <w:r>
        <w:pict>
          <v:rect style="width:0;height:1.5pt" o:hralign="center" o:hrstd="t" o:hr="t"/>
        </w:pict>
      </w:r>
    </w:p>
    <w:bookmarkEnd w:id="12"/>
    <w:bookmarkStart w:id="13" w:name="key-things-to-watch"/>
    <w:p>
      <w:pPr>
        <w:pStyle w:val="Heading2"/>
      </w:pPr>
      <w:r>
        <w:t xml:space="preserve">Key things to watch</w:t>
      </w:r>
    </w:p>
    <w:p>
      <w:pPr>
        <w:pStyle w:val="FirstParagraph"/>
      </w:pPr>
      <w:r>
        <w:rPr>
          <w:b/>
          <w:bCs/>
        </w:rPr>
        <w:t xml:space="preserve">1. The debut of the new segment structure.</w:t>
      </w:r>
      <w:r>
        <w:t xml:space="preserve"> </w:t>
      </w:r>
      <w:r>
        <w:t xml:space="preserve">On the Q1 call, CFO Josh Whipple said the company expects to share its</w:t>
      </w:r>
      <w:r>
        <w:t xml:space="preserve"> </w:t>
      </w:r>
      <w:r>
        <w:rPr>
          <w:b/>
          <w:bCs/>
        </w:rPr>
        <w:t xml:space="preserve">new reportable segments with the Q2 announcement</w:t>
      </w:r>
      <w:r>
        <w:t xml:space="preserve">, resegmenting around the three go-to-market channels:</w:t>
      </w:r>
      <w:r>
        <w:t xml:space="preserve"> </w:t>
      </w:r>
      <w:r>
        <w:rPr>
          <w:b/>
          <w:bCs/>
        </w:rPr>
        <w:t xml:space="preserve">Enterprise, Integrated &amp; Platforms, and SMB</w:t>
      </w:r>
      <w:r>
        <w:t xml:space="preserve">. This is the single biggest structural item — it resets the model, the comps, and how investors underwrite growth. Expect a lot of attention on the disclosure quality and the underlying growth rates by channel.</w:t>
      </w:r>
    </w:p>
    <w:p>
      <w:pPr>
        <w:pStyle w:val="BodyText"/>
      </w:pPr>
      <w:r>
        <w:rPr>
          <w:b/>
          <w:bCs/>
        </w:rPr>
        <w:t xml:space="preserve">2. Worldpay integration &amp; synergy proof points.</w:t>
      </w:r>
      <w:r>
        <w:t xml:space="preserve"> </w:t>
      </w:r>
      <w:r>
        <w:t xml:space="preserve">Management struck a confident tone at ~100 days in — "best of both" org design implemented, sales forces integrated, target technology architecture due "midyear," and early cross-sell wins (Worldpay's U.S. sellers immediately selling Genius;</w:t>
      </w:r>
      <w:r>
        <w:t xml:space="preserve"> </w:t>
      </w:r>
      <w:r>
        <w:rPr>
          <w:b/>
          <w:bCs/>
        </w:rPr>
        <w:t xml:space="preserve">Subway</w:t>
      </w:r>
      <w:r>
        <w:t xml:space="preserve"> </w:t>
      </w:r>
      <w:r>
        <w:t xml:space="preserve">adopting Genius kitchen software across ~2,500 locations). Key framing to remember:</w:t>
      </w:r>
    </w:p>
    <w:p>
      <w:pPr>
        <w:pStyle w:val="Compact"/>
        <w:numPr>
          <w:ilvl w:val="0"/>
          <w:numId w:val="1003"/>
        </w:numPr>
      </w:pPr>
      <w:r>
        <w:t xml:space="preserve">**Revenue synergies (~</w:t>
      </w:r>
      <m:oMath>
        <m:r>
          <m:t>200</m:t>
        </m:r>
        <m:r>
          <m:t>M</m:t>
        </m:r>
        <m:r>
          <m:t>t</m:t>
        </m:r>
        <m:r>
          <m:t>a</m:t>
        </m:r>
        <m:r>
          <m:t>r</m:t>
        </m:r>
        <m:r>
          <m:t>g</m:t>
        </m:r>
        <m:r>
          <m:t>e</m:t>
        </m:r>
        <m:r>
          <m:t>t</m:t>
        </m:r>
        <m:r>
          <m:rPr>
            <m:sty m:val="p"/>
          </m:rPr>
          <m:t>)</m:t>
        </m:r>
        <m:r>
          <m:rPr>
            <m:sty m:val="p"/>
          </m:rPr>
          <m:t>:</m:t>
        </m:r>
        <m:r>
          <m:rPr>
            <m:sty m:val="p"/>
          </m:rPr>
          <m:t>*</m:t>
        </m:r>
        <m:r>
          <m:rPr>
            <m:sty m:val="p"/>
          </m:rPr>
          <m:t>*</m:t>
        </m:r>
        <m:r>
          <m:t>b</m:t>
        </m:r>
        <m:r>
          <m:t>a</m:t>
        </m:r>
        <m:r>
          <m:t>c</m:t>
        </m:r>
        <m:r>
          <m:t>k</m:t>
        </m:r>
        <m:r>
          <m:rPr>
            <m:sty m:val="p"/>
          </m:rPr>
          <m:t>−</m:t>
        </m:r>
        <m:r>
          <m:t>h</m:t>
        </m:r>
        <m:r>
          <m:t>a</m:t>
        </m:r>
        <m:r>
          <m:t>l</m:t>
        </m:r>
        <m:r>
          <m:t>f</m:t>
        </m:r>
        <m:r>
          <m:rPr>
            <m:sty m:val="p"/>
          </m:rPr>
          <m:t>−</m:t>
        </m:r>
        <m:r>
          <m:t>l</m:t>
        </m:r>
        <m:r>
          <m:t>o</m:t>
        </m:r>
        <m:r>
          <m:t>a</m:t>
        </m:r>
        <m:r>
          <m:t>d</m:t>
        </m:r>
        <m:r>
          <m:t>e</m:t>
        </m:r>
        <m:r>
          <m:t>d</m:t>
        </m:r>
        <m:r>
          <m:rPr>
            <m:sty m:val="p"/>
          </m:rPr>
          <m:t>—</m:t>
        </m:r>
        <m:r>
          <m:t>m</m:t>
        </m:r>
        <m:r>
          <m:t>a</m:t>
        </m:r>
        <m:r>
          <m:t>n</m:t>
        </m:r>
        <m:r>
          <m:t>a</m:t>
        </m:r>
        <m:r>
          <m:t>g</m:t>
        </m:r>
        <m:r>
          <m:t>e</m:t>
        </m:r>
        <m:r>
          <m:t>m</m:t>
        </m:r>
        <m:r>
          <m:t>e</m:t>
        </m:r>
        <m:r>
          <m:t>n</m:t>
        </m:r>
        <m:r>
          <m:t>t</m:t>
        </m:r>
        <m:r>
          <m:t>g</m:t>
        </m:r>
        <m:r>
          <m:t>u</m:t>
        </m:r>
        <m:r>
          <m:t>i</m:t>
        </m:r>
        <m:r>
          <m:t>d</m:t>
        </m:r>
        <m:r>
          <m:t>e</m:t>
        </m:r>
        <m:r>
          <m:t>d</m:t>
        </m:r>
        <m:r>
          <m:t>t</m:t>
        </m:r>
        <m:r>
          <m:t>o</m:t>
        </m:r>
        <m:r>
          <m:t> </m:t>
        </m:r>
      </m:oMath>
      <w:r>
        <w:t xml:space="preserve">100M realized in 2028, run-rating $200M exiting 2028, with 2026/2027 as the "foundation." Don't expect much in-year.</w:t>
      </w:r>
    </w:p>
    <w:p>
      <w:pPr>
        <w:pStyle w:val="Compact"/>
        <w:numPr>
          <w:ilvl w:val="0"/>
          <w:numId w:val="1003"/>
        </w:numPr>
      </w:pPr>
      <w:r>
        <w:rPr>
          <w:b/>
          <w:bCs/>
        </w:rPr>
        <w:t xml:space="preserve">Cost synergies:</w:t>
      </w:r>
      <w:r>
        <w:t xml:space="preserve"> </w:t>
      </w:r>
      <w:r>
        <w:t xml:space="preserve">central to the ~150 bps of full-year margin expansion, which is</w:t>
      </w:r>
      <w:r>
        <w:t xml:space="preserve"> </w:t>
      </w:r>
      <w:r>
        <w:rPr>
          <w:b/>
          <w:bCs/>
        </w:rPr>
        <w:t xml:space="preserve">H2-weighted</w:t>
      </w:r>
      <w:r>
        <w:t xml:space="preserve">. Q2 should start showing the ramp.</w:t>
      </w:r>
    </w:p>
    <w:p>
      <w:pPr>
        <w:pStyle w:val="Compact"/>
        <w:numPr>
          <w:ilvl w:val="0"/>
          <w:numId w:val="1003"/>
        </w:numPr>
      </w:pPr>
      <w:r>
        <w:t xml:space="preserve">Any raise (or even hint of raising) the synergy ceiling would be a bull catalyst; slippage on the tech-architecture timeline would be a red flag.</w:t>
      </w:r>
    </w:p>
    <w:p>
      <w:pPr>
        <w:pStyle w:val="FirstParagraph"/>
      </w:pPr>
      <w:r>
        <w:rPr>
          <w:b/>
          <w:bCs/>
        </w:rPr>
        <w:t xml:space="preserve">3. Did the Q2-specific headwinds play out as guided?</w:t>
      </w:r>
      <w:r>
        <w:t xml:space="preserve"> </w:t>
      </w:r>
      <w:r>
        <w:t xml:space="preserve">Management explicitly flagged</w:t>
      </w:r>
      <w:r>
        <w:t xml:space="preserve"> </w:t>
      </w:r>
      <w:r>
        <w:rPr>
          <w:b/>
          <w:bCs/>
        </w:rPr>
        <w:t xml:space="preserve">up to a 100 bps headwind</w:t>
      </w:r>
      <w:r>
        <w:t xml:space="preserve"> </w:t>
      </w:r>
      <w:r>
        <w:t xml:space="preserve">to Q2 adjusted net revenue growth from (a)</w:t>
      </w:r>
      <w:r>
        <w:t xml:space="preserve"> </w:t>
      </w:r>
      <w:r>
        <w:rPr>
          <w:b/>
          <w:bCs/>
        </w:rPr>
        <w:t xml:space="preserve">Middle East conflict impact on travel/airline volumes</w:t>
      </w:r>
      <w:r>
        <w:t xml:space="preserve"> </w:t>
      </w:r>
      <w:r>
        <w:t xml:space="preserve">and (b)</w:t>
      </w:r>
      <w:r>
        <w:t xml:space="preserve"> </w:t>
      </w:r>
      <w:r>
        <w:rPr>
          <w:b/>
          <w:bCs/>
        </w:rPr>
        <w:t xml:space="preserve">softer IRS/Link2Gov tax-payment volumes</w:t>
      </w:r>
      <w:r>
        <w:t xml:space="preserve"> </w:t>
      </w:r>
      <w:r>
        <w:t xml:space="preserve">tied to record refunds under the One Big Beautiful Bill Act. Guidance</w:t>
      </w:r>
      <w:r>
        <w:t xml:space="preserve"> </w:t>
      </w:r>
      <w:r>
        <w:rPr>
          <w:i/>
          <w:iCs/>
        </w:rPr>
        <w:t xml:space="preserve">assumes travel normalizes by the end of Q2</w:t>
      </w:r>
      <w:r>
        <w:t xml:space="preserve"> </w:t>
      </w:r>
      <w:r>
        <w:t xml:space="preserve">— so listen for confirmation. Underlying, they cited resilient consumer spend and double-digit e-commerce transaction growth.</w:t>
      </w:r>
    </w:p>
    <w:p>
      <w:pPr>
        <w:pStyle w:val="BodyText"/>
      </w:pPr>
      <w:r>
        <w:rPr>
          <w:b/>
          <w:bCs/>
        </w:rPr>
        <w:t xml:space="preserve">4. The full-year framework — reaffirm, raise, or trim?</w:t>
      </w:r>
      <w:r>
        <w:t xml:space="preserve"> </w:t>
      </w:r>
      <w:r>
        <w:t xml:space="preserve">Coming in, management is guiding to:</w:t>
      </w:r>
    </w:p>
    <w:p>
      <w:pPr>
        <w:pStyle w:val="Compact"/>
        <w:numPr>
          <w:ilvl w:val="0"/>
          <w:numId w:val="1004"/>
        </w:numPr>
      </w:pPr>
      <w:r>
        <w:rPr>
          <w:b/>
          <w:bCs/>
        </w:rPr>
        <w:t xml:space="preserve">~5% normalized constant-currency adjusted net revenue growth</w:t>
      </w:r>
      <w:r>
        <w:t xml:space="preserve"> </w:t>
      </w:r>
      <w:r>
        <w:t xml:space="preserve">(FY26)</w:t>
      </w:r>
    </w:p>
    <w:p>
      <w:pPr>
        <w:pStyle w:val="Compact"/>
        <w:numPr>
          <w:ilvl w:val="0"/>
          <w:numId w:val="1004"/>
        </w:numPr>
      </w:pPr>
      <w:r>
        <w:rPr>
          <w:b/>
          <w:bCs/>
        </w:rPr>
        <w:t xml:space="preserve">~150 bps normalized adjusted operating margin expansion</w:t>
      </w:r>
    </w:p>
    <w:p>
      <w:pPr>
        <w:pStyle w:val="Compact"/>
        <w:numPr>
          <w:ilvl w:val="0"/>
          <w:numId w:val="1004"/>
        </w:numPr>
      </w:pPr>
      <m:oMath>
        <m:r>
          <m:t>13.80</m:t>
        </m:r>
        <m:r>
          <m:rPr>
            <m:sty m:val="p"/>
          </m:rPr>
          <m:t>–</m:t>
        </m:r>
      </m:oMath>
      <w:r>
        <w:rPr>
          <w:b/>
          <w:bCs/>
        </w:rPr>
        <w:t xml:space="preserve">14.00 adjusted EPS</w:t>
      </w:r>
    </w:p>
    <w:p>
      <w:pPr>
        <w:pStyle w:val="Compact"/>
        <w:numPr>
          <w:ilvl w:val="0"/>
          <w:numId w:val="1004"/>
        </w:numPr>
      </w:pPr>
      <w:r>
        <w:t xml:space="preserve">FX: reduced to</w:t>
      </w:r>
      <w:r>
        <w:t xml:space="preserve"> </w:t>
      </w:r>
      <w:r>
        <w:rPr>
          <w:b/>
          <w:bCs/>
        </w:rPr>
        <w:t xml:space="preserve">&lt;50 bps tailwind</w:t>
      </w:r>
      <w:r>
        <w:t xml:space="preserve"> </w:t>
      </w:r>
      <w:r>
        <w:t xml:space="preserve">(dollar strengthened since February)</w:t>
      </w:r>
    </w:p>
    <w:p>
      <w:pPr>
        <w:pStyle w:val="FirstParagraph"/>
      </w:pPr>
      <w:r>
        <w:t xml:space="preserve">With a hot stock, a simple reaffirm may not be enough; the debate is whether the beat-and-reaffirm cadence continues or they tighten/raise the range.</w:t>
      </w:r>
    </w:p>
    <w:p>
      <w:pPr>
        <w:pStyle w:val="BodyText"/>
      </w:pPr>
      <w:r>
        <w:rPr>
          <w:b/>
          <w:bCs/>
        </w:rPr>
        <w:t xml:space="preserve">5. Capital return &amp; leverage.</w:t>
      </w:r>
      <w:r>
        <w:t xml:space="preserve"> </w:t>
      </w:r>
      <w:r>
        <w:t xml:space="preserve">A core pillar of the thesis:</w:t>
      </w:r>
      <w:r>
        <w:t xml:space="preserve"> </w:t>
      </w:r>
      <m:oMath>
        <m:r>
          <m:t>7.5</m:t>
        </m:r>
        <m:r>
          <m:t>B</m:t>
        </m:r>
        <m:r>
          <m:t>o</m:t>
        </m:r>
        <m:r>
          <m:t>f</m:t>
        </m:r>
        <m:r>
          <m:t>t</m:t>
        </m:r>
        <m:r>
          <m:t>o</m:t>
        </m:r>
        <m:r>
          <m:t>t</m:t>
        </m:r>
        <m:r>
          <m:t>a</m:t>
        </m:r>
        <m:r>
          <m:t>l</m:t>
        </m:r>
        <m:r>
          <m:t>c</m:t>
        </m:r>
        <m:r>
          <m:t>a</m:t>
        </m:r>
        <m:r>
          <m:t>p</m:t>
        </m:r>
        <m:r>
          <m:t>i</m:t>
        </m:r>
        <m:r>
          <m:t>t</m:t>
        </m:r>
        <m:r>
          <m:t>a</m:t>
        </m:r>
        <m:r>
          <m:t>l</m:t>
        </m:r>
        <m:r>
          <m:t>r</m:t>
        </m:r>
        <m:r>
          <m:t>e</m:t>
        </m:r>
        <m:r>
          <m:t>t</m:t>
        </m:r>
        <m:r>
          <m:t>u</m:t>
        </m:r>
        <m:r>
          <m:t>r</m:t>
        </m:r>
        <m:r>
          <m:t>n</m:t>
        </m:r>
        <m:r>
          <m:t>t</m:t>
        </m:r>
        <m:r>
          <m:t>a</m:t>
        </m:r>
        <m:r>
          <m:t>r</m:t>
        </m:r>
        <m:r>
          <m:t>g</m:t>
        </m:r>
        <m:r>
          <m:t>e</m:t>
        </m:r>
        <m:r>
          <m:t>t</m:t>
        </m:r>
        <m:r>
          <m:t>e</m:t>
        </m:r>
        <m:r>
          <m:t>d</m:t>
        </m:r>
        <m:r>
          <m:t>2025</m:t>
        </m:r>
        <m:r>
          <m:rPr>
            <m:sty m:val="p"/>
          </m:rPr>
          <m:t>–</m:t>
        </m:r>
        <m:r>
          <m:t>2027</m:t>
        </m:r>
        <m:r>
          <m:rPr>
            <m:sty m:val="p"/>
          </m:rPr>
          <m:t>*</m:t>
        </m:r>
        <m:r>
          <m:rPr>
            <m:sty m:val="p"/>
          </m:rPr>
          <m:t>*</m:t>
        </m:r>
        <m:r>
          <m:rPr>
            <m:sty m:val="p"/>
          </m:rPr>
          <m:t>,</m:t>
        </m:r>
        <m:r>
          <m:rPr>
            <m:sty m:val="p"/>
          </m:rPr>
          <m:t>*</m:t>
        </m:r>
        <m:r>
          <m:rPr>
            <m:sty m:val="p"/>
          </m:rPr>
          <m:t>*</m:t>
        </m:r>
        <m:r>
          <m:rPr>
            <m:sty m:val="p"/>
          </m:rPr>
          <m:t>&gt;</m:t>
        </m:r>
      </m:oMath>
      <w:r>
        <w:rPr>
          <w:b/>
          <w:bCs/>
        </w:rPr>
        <w:t xml:space="preserve">2B in 2026</w:t>
      </w:r>
      <w:r>
        <w:t xml:space="preserve">. Q1 included a **</w:t>
      </w:r>
      <m:oMath>
        <m:r>
          <m:t>500</m:t>
        </m:r>
        <m:r>
          <m:t>M</m:t>
        </m:r>
        <m:r>
          <m:t>A</m:t>
        </m:r>
        <m:r>
          <m:t>S</m:t>
        </m:r>
        <m:r>
          <m:t>R</m:t>
        </m:r>
        <m:r>
          <m:rPr>
            <m:sty m:val="p"/>
          </m:rPr>
          <m:t>*</m:t>
        </m:r>
        <m:r>
          <m:rPr>
            <m:sty m:val="p"/>
          </m:rPr>
          <m:t>*</m:t>
        </m:r>
        <m:r>
          <m:rPr>
            <m:sty m:val="p"/>
          </m:rPr>
          <m:t>(</m:t>
        </m:r>
        <m:r>
          <m:t>p</m:t>
        </m:r>
        <m:r>
          <m:t>l</m:t>
        </m:r>
        <m:r>
          <m:t>u</m:t>
        </m:r>
        <m:r>
          <m:t>s</m:t>
        </m:r>
        <m:r>
          <m:t>a</m:t>
        </m:r>
        <m:r>
          <m:t>n</m:t>
        </m:r>
        <m:r>
          <m:t>o</m:t>
        </m:r>
        <m:r>
          <m:t>t</m:t>
        </m:r>
        <m:r>
          <m:t>h</m:t>
        </m:r>
        <m:r>
          <m:t>e</m:t>
        </m:r>
        <m:r>
          <m:t>r</m:t>
        </m:r>
        <m:r>
          <m:t>a</m:t>
        </m:r>
        <m:r>
          <m:t>n</m:t>
        </m:r>
        <m:r>
          <m:t>n</m:t>
        </m:r>
        <m:r>
          <m:t>o</m:t>
        </m:r>
        <m:r>
          <m:t>u</m:t>
        </m:r>
        <m:r>
          <m:t>n</m:t>
        </m:r>
        <m:r>
          <m:t>c</m:t>
        </m:r>
        <m:r>
          <m:t>e</m:t>
        </m:r>
        <m:r>
          <m:t>d</m:t>
        </m:r>
        <m:r>
          <m:rPr>
            <m:sty m:val="p"/>
          </m:rPr>
          <m:t>)</m:t>
        </m:r>
        <m:r>
          <m:t>a</m:t>
        </m:r>
        <m:r>
          <m:t>n</m:t>
        </m:r>
        <m:r>
          <m:t>d</m:t>
        </m:r>
        <m:r>
          <m:t> </m:t>
        </m:r>
      </m:oMath>
      <w:r>
        <w:t xml:space="preserve">620M total returned; leverage sat at</w:t>
      </w:r>
      <w:r>
        <w:t xml:space="preserve"> </w:t>
      </w:r>
      <w:r>
        <w:rPr>
          <w:b/>
          <w:bCs/>
        </w:rPr>
        <w:t xml:space="preserve">3.5x</w:t>
      </w:r>
      <w:r>
        <w:t xml:space="preserve">, on track to</w:t>
      </w:r>
      <w:r>
        <w:t xml:space="preserve"> </w:t>
      </w:r>
      <w:r>
        <w:rPr>
          <w:b/>
          <w:bCs/>
        </w:rPr>
        <w:t xml:space="preserve">3.0x by end-2027</w:t>
      </w:r>
      <w:r>
        <w:t xml:space="preserve">. Watch for continued buyback pace and any commentary on using the recent share weakness to repurchase aggressively.</w:t>
      </w:r>
    </w:p>
    <w:p>
      <w:pPr>
        <w:pStyle w:val="BodyText"/>
      </w:pPr>
      <w:r>
        <w:rPr>
          <w:b/>
          <w:bCs/>
        </w:rPr>
        <w:t xml:space="preserve">6. Genius momentum.</w:t>
      </w:r>
      <w:r>
        <w:t xml:space="preserve"> </w:t>
      </w:r>
      <w:r>
        <w:t xml:space="preserve">The SMB flagship remains the growth narrative: Q1 saw new Genius locations +~25% y/y, bookings nearly doubling y/y, and new-client yields up &gt;30%. International rollout (Germany/Austria, UK) and pushing Genius through Worldpay's FI/branch distribution (initial contribution expected 2027) are the multi-year unlocks. Sales-force build-out (300 of a planned 500 new North America reps hired) is a leading indicator.</w:t>
      </w:r>
    </w:p>
    <w:p>
      <w:pPr>
        <w:pStyle w:val="BodyText"/>
      </w:pPr>
      <w:r>
        <w:rPr>
          <w:b/>
          <w:bCs/>
        </w:rPr>
        <w:t xml:space="preserve">7. GAAP noise.</w:t>
      </w:r>
      <w:r>
        <w:t xml:space="preserve"> </w:t>
      </w:r>
      <w:r>
        <w:t xml:space="preserve">Expect another optically ugly GAAP number. Q1 posted a</w:t>
      </w:r>
      <w:r>
        <w:t xml:space="preserve"> </w:t>
      </w:r>
      <w:r>
        <w:rPr>
          <w:b/>
          <w:bCs/>
        </w:rPr>
        <w:t xml:space="preserve">GAAP loss of (</w:t>
      </w:r>
      <m:oMath>
        <m:r>
          <m:t>6.59</m:t>
        </m:r>
        <m:r>
          <m:rPr>
            <m:sty m:val="p"/>
          </m:rPr>
          <m:t>)</m:t>
        </m:r>
        <m:r>
          <m:rPr>
            <m:sty m:val="p"/>
          </m:rPr>
          <m:t>/</m:t>
        </m:r>
        <m:r>
          <m:t>s</m:t>
        </m:r>
        <m:r>
          <m:t>h</m:t>
        </m:r>
        <m:r>
          <m:t>a</m:t>
        </m:r>
        <m:r>
          <m:t>r</m:t>
        </m:r>
        <m:r>
          <m:t>e</m:t>
        </m:r>
        <m:r>
          <m:rPr>
            <m:sty m:val="p"/>
          </m:rPr>
          <m:t>*</m:t>
        </m:r>
        <m:r>
          <m:rPr>
            <m:sty m:val="p"/>
          </m:rPr>
          <m:t>*</m:t>
        </m:r>
        <m:r>
          <m:t>v</m:t>
        </m:r>
        <m:r>
          <m:t>e</m:t>
        </m:r>
        <m:r>
          <m:t>r</m:t>
        </m:r>
        <m:r>
          <m:t>s</m:t>
        </m:r>
        <m:r>
          <m:t>u</m:t>
        </m:r>
        <m:r>
          <m:t>s</m:t>
        </m:r>
        <m:r>
          <m:rPr>
            <m:sty m:val="p"/>
          </m:rPr>
          <m:t>*</m:t>
        </m:r>
        <m:r>
          <m:rPr>
            <m:sty m:val="p"/>
          </m:rPr>
          <m:t>*</m:t>
        </m:r>
      </m:oMath>
      <w:r>
        <w:rPr>
          <w:b/>
          <w:bCs/>
        </w:rPr>
        <w:t xml:space="preserve">2.96 adjusted</w:t>
      </w:r>
      <w:r>
        <w:t xml:space="preserve">, driven by Worldpay purchase-accounting amortization (&gt;$747M/qtr acquired-intangible amortization) and discontinued-ops charges from the Issuer sale. Focus on adjusted metrics and, increasingly, on</w:t>
      </w:r>
      <w:r>
        <w:t xml:space="preserve"> </w:t>
      </w:r>
      <w:r>
        <w:rPr>
          <w:b/>
          <w:bCs/>
        </w:rPr>
        <w:t xml:space="preserve">free cash flow conversion</w:t>
      </w:r>
      <w:r>
        <w:t xml:space="preserve"> </w:t>
      </w:r>
      <w:r>
        <w:t xml:space="preserve">(guided &gt;90% for the year, seasonally low in H1).</w:t>
      </w:r>
    </w:p>
    <w:p>
      <w:r>
        <w:pict>
          <v:rect style="width:0;height:1.5pt" o:hralign="center" o:hrstd="t" o:hr="t"/>
        </w:pict>
      </w:r>
    </w:p>
    <w:bookmarkEnd w:id="13"/>
    <w:bookmarkStart w:id="14" w:name="bull-vs-bear-into-the-print"/>
    <w:p>
      <w:pPr>
        <w:pStyle w:val="Heading2"/>
      </w:pPr>
      <w:r>
        <w:t xml:space="preserve">Bull vs. bear into the print</w:t>
      </w:r>
    </w:p>
    <w:p>
      <w:pPr>
        <w:pStyle w:val="FirstParagraph"/>
      </w:pPr>
      <w:r>
        <w:rPr>
          <w:b/>
          <w:bCs/>
        </w:rPr>
        <w:t xml:space="preserve">Bull case:</w:t>
      </w:r>
      <w:r>
        <w:t xml:space="preserve"> </w:t>
      </w:r>
      <w:r>
        <w:t xml:space="preserve">Integration is tracking ahead of plan, Genius + cross-sell are compounding, margin expansion accelerates in H2, buybacks shrink the share count at a low-teens P/E, and GPN screens as the cleanest, most diversified name in payments — with room for multiple re-rating as Worldpay execution de-risks.</w:t>
      </w:r>
    </w:p>
    <w:p>
      <w:pPr>
        <w:pStyle w:val="BodyText"/>
      </w:pPr>
      <w:r>
        <w:rPr>
          <w:b/>
          <w:bCs/>
        </w:rPr>
        <w:t xml:space="preserve">Bear case:</w:t>
      </w:r>
      <w:r>
        <w:t xml:space="preserve"> </w:t>
      </w:r>
      <w:r>
        <w:t xml:space="preserve">The stock has run ~40% off the lows and ~12% into the print, so a beat may be "in the price." Near-term estimate revisions are negative, cost/integration expenses are rising, revenue synergies are years out, tax and travel headwinds are real, and the whole processor group (FI, FIS) has been a value trap — sentiment can turn fast.</w:t>
      </w:r>
    </w:p>
    <w:p>
      <w:r>
        <w:pict>
          <v:rect style="width:0;height:1.5pt" o:hralign="center" o:hrstd="t" o:hr="t"/>
        </w:pict>
      </w:r>
    </w:p>
    <w:bookmarkEnd w:id="14"/>
    <w:bookmarkStart w:id="15" w:name="bottom-line"/>
    <w:p>
      <w:pPr>
        <w:pStyle w:val="Heading2"/>
      </w:pPr>
      <w:r>
        <w:t xml:space="preserve">Bottom line</w:t>
      </w:r>
    </w:p>
    <w:p>
      <w:pPr>
        <w:pStyle w:val="FirstParagraph"/>
      </w:pPr>
      <w:r>
        <w:t xml:space="preserve">The number to beat is roughly</w:t>
      </w:r>
      <w:r>
        <w:t xml:space="preserve"> </w:t>
      </w:r>
      <m:oMath>
        <m:r>
          <m:t>3.44</m:t>
        </m:r>
        <m:r>
          <m:rPr>
            <m:sty m:val="p"/>
          </m:rPr>
          <m:t>–</m:t>
        </m:r>
      </m:oMath>
      <w:r>
        <w:rPr>
          <w:b/>
          <w:bCs/>
        </w:rPr>
        <w:t xml:space="preserve">3.46 EPS on ~</w:t>
      </w:r>
      <w:r>
        <w:rPr>
          <w:b/>
          <w:bCs/>
        </w:rPr>
        <w:t xml:space="preserve">$3.17B revenue**, but the report will likely trade on three things: **(1) the credibility of the newly disclosed Enterprise / Integrated &amp; Platforms / SMB segment growth rates, (2) tangible Worldpay integration and margin-ramp evidence supporting the H2-weighted guide, and (3) whether the FY26 framework ($</w:t>
      </w:r>
      <w:r>
        <w:rPr>
          <w:b/>
          <w:bCs/>
        </w:rPr>
        <w:t xml:space="preserve">13.80–$14.00 EPS, ~5% CC revenue growth, ~150 bps margin expansion) is reaffirmed, tightened, or raised.</w:t>
      </w:r>
      <w:r>
        <w:t xml:space="preserve"> </w:t>
      </w:r>
      <w:r>
        <w:t xml:space="preserve">With shares having rallied hard into the event and near-term revisions leaning negative, the risk/reward is asymmetric to disappointment — management likely needs a clean beat</w:t>
      </w:r>
      <w:r>
        <w:t xml:space="preserve"> </w:t>
      </w:r>
      <w:r>
        <w:rPr>
          <w:i/>
          <w:iCs/>
        </w:rPr>
        <w:t xml:space="preserve">plus</w:t>
      </w:r>
      <w:r>
        <w:t xml:space="preserve"> </w:t>
      </w:r>
      <w:r>
        <w:t xml:space="preserve">a confident second-half bridge to keep the momentum going.</w:t>
      </w:r>
    </w:p>
    <w:p>
      <w:pPr>
        <w:pStyle w:val="BodyText"/>
      </w:pPr>
      <w:r>
        <w:rPr>
          <w:i/>
          <w:iCs/>
        </w:rPr>
        <w:t xml:space="preserve">Note: I could not find dated news wires in the last several days specific to GPN beyond earnings-date confirmations; consensus figures above are drawn from public sell-side/aggregator sources and may differ modestly from your data provider.</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2026-08-05T00:04:33Z</dcterms:created>
  <dcterms:modified xsi:type="dcterms:W3CDTF">2026-08-05T00:04:33Z</dcterms:modified>
</cp:coreProperties>
</file>

<file path=docProps/custom.xml><?xml version="1.0" encoding="utf-8"?>
<Properties xmlns="http://schemas.openxmlformats.org/officeDocument/2006/custom-properties" xmlns:vt="http://schemas.openxmlformats.org/officeDocument/2006/docPropsVTypes"/>
</file>