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pn-earnings-predictions--2026-08-05"/>
    <w:p>
      <w:pPr>
        <w:pStyle w:val="Heading1"/>
      </w:pPr>
      <w:r>
        <w:t xml:space="preserve">GPN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~$3.50 vs. cons $3.46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Net Revenue (Q2 2026, Worldpay-consolidated)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~$3.13B vs. cons $3.17B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EBITDA/Operating Margin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~43.6% vs. cons ~44.4%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~$13.85 (mid of</w:t>
            </w:r>
            <w:r>
              <w:t xml:space="preserve"> </w:t>
            </w:r>
            <m:oMath>
              <m:r>
                <m:t>13.80</m:t>
              </m:r>
              <m:r>
                <m:rPr>
                  <m:sty m:val="p"/>
                </m:rPr>
                <m:t>−</m:t>
              </m:r>
            </m:oMath>
            <w:r>
              <w:t xml:space="preserve">14.00 range) vs. cons $13.83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normalized constant-currency net revenue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~5.0% vs. cons ~4.7%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Middle East travel/IRS tax headwind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~50-70bps residual drag vs. cons ~0bps embedded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-0.5% (FADE)</w:t>
            </w:r>
          </w:p>
        </w:tc>
        <w:tc>
          <w:tcPr/>
          <w:p>
            <w:pPr>
              <w:pStyle w:val="Compact"/>
            </w:pPr>
            <w:r>
              <w:t xml:space="preserve">An EPS beat and reaffirmed FY26 guide likely spark an initial pop, but the setup is fragile: GPN's Zacks ESP is negative with six downward estimate revisions and zero upward in 60 days, margin optics will look weak on a normalized-EBITDA basis due to Worldpay consolidation and integration costs, and any incomplete Middle East travel normalization pushes the up-to-100bps headwind into Q3/Q4 math. As sell-side models re-run FY27 synergy-ramp assumptions (revenue synergies still not material until 2027-28) against a stock that already re-rated ~40% off its June lows on the Morgan Stanley upgrade, the initial beat-driven move likely fades over the following days as analysts trim out-period numbers even if Q2 itself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2026-08-05T00:06:31Z</dcterms:created>
  <dcterms:modified xsi:type="dcterms:W3CDTF">2026-08-05T00:06:31Z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