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 now have sufficient information to write a comprehensive earnings preview. Let me pull one more data point on peer comparisons (Fiserv) and confirm the recent stock rally context, then write the report.# Global Payments Inc. (GPN) — Q2 2026 Earnings Preview</w:t>
      </w:r>
      <w:r>
        <w:t xml:space="preserve"> </w:t>
      </w:r>
      <w:r>
        <w:rPr>
          <w:b/>
          <w:bCs/>
        </w:rPr>
        <w:t xml:space="preserve">Report date:</w:t>
      </w:r>
      <w:r>
        <w:t xml:space="preserve"> </w:t>
      </w:r>
      <w:r>
        <w:t xml:space="preserve">Wednesday, August 5, 2026, before market open |</w:t>
      </w:r>
      <w:r>
        <w:t xml:space="preserve"> </w:t>
      </w:r>
      <w:r>
        <w:rPr>
          <w:b/>
          <w:bCs/>
        </w:rPr>
        <w:t xml:space="preserve">Call:</w:t>
      </w:r>
      <w:r>
        <w:t xml:space="preserve"> </w:t>
      </w:r>
      <w:r>
        <w:t xml:space="preserve">8:00 a.m. ET</w:t>
      </w:r>
    </w:p>
    <w:p>
      <w:r>
        <w:pict>
          <v:rect style="width:0;height:1.5pt" o:hralign="center" o:hrstd="t" o:hr="t"/>
        </w:pict>
      </w:r>
    </w:p>
    <w:bookmarkStart w:id="9" w:name="Xb16c127a4d4390f8c0fb9dfc523140300878ed1"/>
    <w:p>
      <w:pPr>
        <w:pStyle w:val="Heading2"/>
      </w:pPr>
      <w:r>
        <w:t xml:space="preserve">1. Setup Heading Into the Print</w:t>
      </w:r>
    </w:p>
    <w:p>
      <w:pPr>
        <w:pStyle w:val="FirstParagraph"/>
      </w:pPr>
      <w:r>
        <w:t xml:space="preserve">GPN shares have run hard into this print. The stock touched a 52-week low near</w:t>
      </w:r>
      <w:r>
        <w:t xml:space="preserve"> </w:t>
      </w:r>
      <m:oMath>
        <m:r>
          <m:t>61</m:t>
        </m:r>
        <m:r>
          <m:t>i</m:t>
        </m:r>
        <m:r>
          <m:t>n</m:t>
        </m:r>
        <m:r>
          <m:t>J</m:t>
        </m:r>
        <m:r>
          <m:t>u</m:t>
        </m:r>
        <m:r>
          <m:t>n</m:t>
        </m:r>
        <m:r>
          <m:t>e</m:t>
        </m:r>
        <m:r>
          <m:t>a</m:t>
        </m:r>
        <m:r>
          <m:t>n</m:t>
        </m:r>
        <m:r>
          <m:t>d</m:t>
        </m:r>
        <m:r>
          <m:t>h</m:t>
        </m:r>
        <m:r>
          <m:t>a</m:t>
        </m:r>
        <m:r>
          <m:t>s</m:t>
        </m:r>
        <m:r>
          <m:t>s</m:t>
        </m:r>
        <m:r>
          <m:t>i</m:t>
        </m:r>
        <m:r>
          <m:t>n</m:t>
        </m:r>
        <m:r>
          <m:t>c</m:t>
        </m:r>
        <m:r>
          <m:t>e</m:t>
        </m:r>
        <m:r>
          <m:t>r</m:t>
        </m:r>
        <m:r>
          <m:t>a</m:t>
        </m:r>
        <m:r>
          <m:t>l</m:t>
        </m:r>
        <m:r>
          <m:t>l</m:t>
        </m:r>
        <m:r>
          <m:t>i</m:t>
        </m:r>
        <m:r>
          <m:t>e</m:t>
        </m:r>
        <m:r>
          <m:t>d</m:t>
        </m:r>
        <m:r>
          <m:t>t</m:t>
        </m:r>
        <m:r>
          <m:t>o</m:t>
        </m:r>
        <m:r>
          <m:rPr>
            <m:sty m:val="p"/>
          </m:rPr>
          <m:t>*</m:t>
        </m:r>
        <m:r>
          <m:rPr>
            <m:sty m:val="p"/>
          </m:rPr>
          <m:t>*</m:t>
        </m:r>
      </m:oMath>
      <w:r>
        <w:t xml:space="preserve">88.27** as of August 4 — a move accelerated by a high-profile analyst call. On July 20, Morgan Stanley analyst James Faucette upgraded Global Payments from Equal-Weight to Overweight, raising his price target from $65 to $100, grounded in improved field checks on the Genius point-of-sale platform and the recently acquired Worldpay product suite showing strengthening traction among small-to-medium businesses and larger enterprise clients. The firm also raised its estimates for the company's share repurchase program, viewing accelerated buybacks as a meaningful lever for earnings-per-share expansion.</w:t>
      </w:r>
    </w:p>
    <w:p>
      <w:pPr>
        <w:pStyle w:val="BodyText"/>
      </w:pPr>
      <w:r>
        <w:t xml:space="preserve">That upgrade landed alongside a supportive tape: peers Visa, Mastercard and American Express all beat estimates in their most recent quarters, feeding sector-wide optimism ahead of GPN's own report. Broader analyst sentiment remains a "cautiously optimistic"</w:t>
      </w:r>
      <w:r>
        <w:t xml:space="preserve"> </w:t>
      </w:r>
      <w:r>
        <w:rPr>
          <w:b/>
          <w:bCs/>
        </w:rPr>
        <w:t xml:space="preserve">Moderate Buy</w:t>
      </w:r>
      <w:r>
        <w:t xml:space="preserve"> </w:t>
      </w:r>
      <w:r>
        <w:t xml:space="preserve">— as of mid-July, among 34 analysts covering the stock, 11 recommend a "Strong Buy," 21 give a "Hold" rating, and two indicate a "Strong Sell," with an average price target of $91.57, indicating potential upside of about 14% — though the dispersion of targets remains unusually wide (roughly $60 to $194), reflecting genuine disagreement about how the Worldpay integration plays out.</w:t>
      </w:r>
    </w:p>
    <w:bookmarkEnd w:id="9"/>
    <w:bookmarkStart w:id="10" w:name="X199926a732f4aa93e2f34142bd00deb307be909"/>
    <w:p>
      <w:pPr>
        <w:pStyle w:val="Heading2"/>
      </w:pPr>
      <w:r>
        <w:t xml:space="preserve">2. Q1 2026 Recap — The Baseline This Quarter Builds On</w:t>
      </w:r>
    </w:p>
    <w:p>
      <w:pPr>
        <w:pStyle w:val="FirstParagraph"/>
      </w:pPr>
      <w:r>
        <w:t xml:space="preserve">Global Payments closed its</w:t>
      </w:r>
      <w:r>
        <w:t xml:space="preserve"> </w:t>
      </w:r>
      <w:r>
        <w:rPr>
          <w:b/>
          <w:bCs/>
        </w:rPr>
        <w:t xml:space="preserve">$24.25B Worldpay acquisition on January 12, 2026</w:t>
      </w:r>
      <w:r>
        <w:t xml:space="preserve"> </w:t>
      </w:r>
      <w:r>
        <w:t xml:space="preserve">and simultaneously completed the divestiture of its Issuer Solutions business to FIS, repositioning itself as a pure-play commerce enablement company. Q1 results, reported May 6, beat expectations:</w:t>
      </w:r>
    </w:p>
    <w:p>
      <w:pPr>
        <w:pStyle w:val="Compact"/>
        <w:numPr>
          <w:ilvl w:val="0"/>
          <w:numId w:val="1001"/>
        </w:numPr>
      </w:pPr>
      <w:r>
        <w:t xml:space="preserve">Normalized adjusted net revenue growth was approximately 5.5%, or approximately 4.5% on a constant currency basis, aided by healthy consumer spending but partially offset by lower Middle East airline volumes and slightly lower IRS payment volumes attributable to tax reforms under the One Big Beautiful Bill Act.</w:t>
      </w:r>
    </w:p>
    <w:p>
      <w:pPr>
        <w:pStyle w:val="Compact"/>
        <w:numPr>
          <w:ilvl w:val="0"/>
          <w:numId w:val="1001"/>
        </w:numPr>
      </w:pPr>
      <w:r>
        <w:t xml:space="preserve">Adjusted operating margins expanded 110 basis points on a normalized basis and adjusted earnings per share grew 10% on an as-reported and constant currency basis.</w:t>
      </w:r>
    </w:p>
    <w:p>
      <w:pPr>
        <w:pStyle w:val="Compact"/>
        <w:numPr>
          <w:ilvl w:val="0"/>
          <w:numId w:val="1001"/>
        </w:numPr>
      </w:pPr>
      <w:r>
        <w:t xml:space="preserve">The company returned more than $600 million to shareholders through dividends and share repurchases in Q1 while achieving leverage of 3.5x, and announced another $500 million accelerated share repurchase program.</w:t>
      </w:r>
    </w:p>
    <w:p>
      <w:pPr>
        <w:pStyle w:val="Compact"/>
        <w:numPr>
          <w:ilvl w:val="0"/>
          <w:numId w:val="1001"/>
        </w:numPr>
      </w:pPr>
      <w:r>
        <w:t xml:space="preserve">Management</w:t>
      </w:r>
      <w:r>
        <w:t xml:space="preserve"> </w:t>
      </w:r>
      <w:r>
        <w:rPr>
          <w:b/>
          <w:bCs/>
        </w:rPr>
        <w:t xml:space="preserve">reaffirmed full-year 2026 guidance</w:t>
      </w:r>
      <w:r>
        <w:t xml:space="preserve">: normalized constant currency adjusted net revenue growth of approximately 5%, adjusted operating margin expansion of approximately 150 basis points, and adjusted EPS in the range of $13.80 to $14.00.</w:t>
      </w:r>
    </w:p>
    <w:bookmarkEnd w:id="10"/>
    <w:bookmarkStart w:id="11" w:name="Xf8ca1e702e1ab05f9d57f8aaff3a67c0e9e227b"/>
    <w:p>
      <w:pPr>
        <w:pStyle w:val="Heading2"/>
      </w:pPr>
      <w:r>
        <w:t xml:space="preserve">3. What to Watch in the Q2 Print</w:t>
      </w:r>
    </w:p>
    <w:p>
      <w:pPr>
        <w:pStyle w:val="FirstParagraph"/>
      </w:pPr>
      <w:r>
        <w:rPr>
          <w:b/>
          <w:bCs/>
        </w:rPr>
        <w:t xml:space="preserve">a) New segment reporting.</w:t>
      </w:r>
      <w:r>
        <w:t xml:space="preserve"> </w:t>
      </w:r>
      <w:r>
        <w:t xml:space="preserve">GPN previewed that this quarter marks a structural disclosure change: the company is progressing well through the initial stages of finance and accounting work to resegment its business consistent with new go-to-market channels and expects to be able to share new reportable segments with the second quarter earnings announcement. Investors should watch for how Enterprise, Integrated &amp; Platforms, and SMB (Genius) channels are broken out and what it reveals about growth/margin mix.</w:t>
      </w:r>
    </w:p>
    <w:p>
      <w:pPr>
        <w:pStyle w:val="BodyText"/>
      </w:pPr>
      <w:r>
        <w:rPr>
          <w:b/>
          <w:bCs/>
        </w:rPr>
        <w:t xml:space="preserve">b) Middle East travel and IRS/tax headwinds.</w:t>
      </w:r>
      <w:r>
        <w:t xml:space="preserve"> </w:t>
      </w:r>
      <w:r>
        <w:t xml:space="preserve">Management flagged these explicitly as a near-term drag: starting with the second quarter, the company expects potential impacts from the conflict in the Middle East and softer tax payment volumes to be up to a 100-basis-point headwind to adjusted net revenue growth, with the outlook assuming travel begins to normalize by the end of the second quarter. Whether travel has actually normalized on schedule is a key swing factor for both the Q2 print and the H2 outlook.</w:t>
      </w:r>
    </w:p>
    <w:p>
      <w:pPr>
        <w:pStyle w:val="BodyText"/>
      </w:pPr>
      <w:r>
        <w:rPr>
          <w:b/>
          <w:bCs/>
        </w:rPr>
        <w:t xml:space="preserve">c) Genius platform momentum.</w:t>
      </w:r>
      <w:r>
        <w:t xml:space="preserve"> </w:t>
      </w:r>
      <w:r>
        <w:t xml:space="preserve">Genius remains the single most-watched growth story. In Q1, Genius bookings increased more than 25% sequentially and nearly doubled year-over-year, while yields with new clients increased by more than 30% year-over-year, and new Genius locations were approximately 25% higher than in the prior-year quarter, with payment attach rates improving more than 20% versus the prior-year period. Investors will want confirmation that this trajectory continued, plus updates on Genius rollout into Worldpay's ~6,000 U.S. bank branches and international markets like Germany/Austria.</w:t>
      </w:r>
    </w:p>
    <w:p>
      <w:pPr>
        <w:pStyle w:val="BodyText"/>
      </w:pPr>
      <w:r>
        <w:rPr>
          <w:b/>
          <w:bCs/>
        </w:rPr>
        <w:t xml:space="preserve">d) Worldpay integration and synergy tracking.</w:t>
      </w:r>
      <w:r>
        <w:t xml:space="preserve"> </w:t>
      </w:r>
      <w:r>
        <w:t xml:space="preserve">Management has guided to</w:t>
      </w:r>
      <w:r>
        <w:t xml:space="preserve"> </w:t>
      </w:r>
      <m:oMath>
        <m:r>
          <m:t>600</m:t>
        </m:r>
        <m:r>
          <m:t>m</m:t>
        </m:r>
        <m:r>
          <m:t>i</m:t>
        </m:r>
        <m:r>
          <m:t>l</m:t>
        </m:r>
        <m:r>
          <m:t>l</m:t>
        </m:r>
        <m:r>
          <m:t>i</m:t>
        </m:r>
        <m:r>
          <m:t>o</m:t>
        </m:r>
        <m:r>
          <m:t>n</m:t>
        </m:r>
        <m:r>
          <m:t>i</m:t>
        </m:r>
        <m:r>
          <m:t>n</m:t>
        </m:r>
        <m:r>
          <m:t>c</m:t>
        </m:r>
        <m:r>
          <m:t>o</m:t>
        </m:r>
        <m:r>
          <m:t>s</m:t>
        </m:r>
        <m:r>
          <m:t>t</m:t>
        </m:r>
        <m:r>
          <m:t>s</m:t>
        </m:r>
        <m:r>
          <m:t>y</m:t>
        </m:r>
        <m:r>
          <m:t>n</m:t>
        </m:r>
        <m:r>
          <m:t>e</m:t>
        </m:r>
        <m:r>
          <m:t>r</m:t>
        </m:r>
        <m:r>
          <m:t>g</m:t>
        </m:r>
        <m:r>
          <m:t>i</m:t>
        </m:r>
        <m:r>
          <m:t>e</m:t>
        </m:r>
        <m:r>
          <m:t>s</m:t>
        </m:r>
        <m:r>
          <m:rPr>
            <m:sty m:val="p"/>
          </m:rPr>
          <m:t>*</m:t>
        </m:r>
        <m:r>
          <m:rPr>
            <m:sty m:val="p"/>
          </m:rPr>
          <m:t>*</m:t>
        </m:r>
        <m:r>
          <m:t>a</m:t>
        </m:r>
        <m:r>
          <m:t>n</m:t>
        </m:r>
        <m:r>
          <m:t>d</m:t>
        </m:r>
        <m:r>
          <m:rPr>
            <m:sty m:val="p"/>
          </m:rPr>
          <m:t>*</m:t>
        </m:r>
        <m:r>
          <m:rPr>
            <m:sty m:val="p"/>
          </m:rPr>
          <m:t>*</m:t>
        </m:r>
      </m:oMath>
      <w:r>
        <w:rPr>
          <w:b/>
          <w:bCs/>
        </w:rPr>
        <w:t xml:space="preserve">200 million in revenue synergies</w:t>
      </w:r>
      <w:r>
        <w:t xml:space="preserve"> </w:t>
      </w:r>
      <w:r>
        <w:t xml:space="preserve">over three years, though the bigger revenue-synergy opportunities are expected to start in 2027 and ramp more meaningfully into 2028, with roughly $100 million expected in 2028 and an exit run-rate of $200 million. Watch for commentary on the "target architecture" technology decisions, which management said it expects to finalize around midyear, with execution plans moving into the back half of 2026 and into 2027.</w:t>
      </w:r>
    </w:p>
    <w:p>
      <w:pPr>
        <w:pStyle w:val="BodyText"/>
      </w:pPr>
      <w:r>
        <w:rPr>
          <w:b/>
          <w:bCs/>
        </w:rPr>
        <w:t xml:space="preserve">e) Capital returns and leverage.</w:t>
      </w:r>
      <w:r>
        <w:t xml:space="preserve"> </w:t>
      </w:r>
      <w:r>
        <w:t xml:space="preserve">GPN entered a fresh $500 million ASR in Q1 and said it planned to resume open-market buybacks. The company continues to target $7.5 billion of capital returns for 2025 through 2027, with leverage at 3.5x versus a 3x net leverage target by the end of 2027. Pace of buybacks and any update to the leverage glidepath will matter for the EPS bridge.</w:t>
      </w:r>
    </w:p>
    <w:p>
      <w:pPr>
        <w:pStyle w:val="BodyText"/>
      </w:pPr>
      <w:r>
        <w:rPr>
          <w:b/>
          <w:bCs/>
        </w:rPr>
        <w:t xml:space="preserve">f) Cost inflation / margin mix.</w:t>
      </w:r>
      <w:r>
        <w:t xml:space="preserve"> </w:t>
      </w:r>
      <w:r>
        <w:t xml:space="preserve">Sell-side models flag rising integration-related costs as a swing factor: one preview estimates cost of service to rise 63.2% year over year, with total operating costs around $2.4 billion (a 57% increase from the year-ago level) and adjusted EBITDA margin declining to 44.4% in the second quarter from 48.9% a year ago — though this reflects consolidation accounting (Worldpay now fully in the base) as much as underlying cost pressure. The market will parse whether the 150bps full-year margin expansion target is still on track once synergy realization ramps in H2.</w:t>
      </w:r>
    </w:p>
    <w:bookmarkEnd w:id="11"/>
    <w:bookmarkStart w:id="12" w:name="Xf0e8aff5ebd775b8fcd7c90fa934bc8c53dafca"/>
    <w:p>
      <w:pPr>
        <w:pStyle w:val="Heading2"/>
      </w:pPr>
      <w:r>
        <w:t xml:space="preserve">4. Consensus Estimates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Actual/Comp</w:t>
            </w:r>
          </w:p>
        </w:tc>
        <w:tc>
          <w:tcPr/>
          <w:p>
            <w:pPr>
              <w:pStyle w:val="Compact"/>
            </w:pPr>
            <w:r>
              <w:t xml:space="preserve">Implied Growth</w:t>
            </w:r>
          </w:p>
        </w:tc>
      </w:tr>
      <w:tr>
        <w:tc>
          <w:tcPr/>
          <w:p>
            <w:pPr>
              <w:pStyle w:val="Compact"/>
            </w:pPr>
            <w:r>
              <w:t xml:space="preserve">Adjusted EPS</w:t>
            </w:r>
          </w:p>
        </w:tc>
        <w:tc>
          <w:tcPr/>
          <w:p>
            <w:pPr>
              <w:pStyle w:val="Compact"/>
            </w:pPr>
            <w:r>
              <w:t xml:space="preserve">~$3.46</w:t>
            </w:r>
          </w:p>
        </w:tc>
        <w:tc>
          <w:tcPr/>
          <w:p>
            <w:pPr>
              <w:pStyle w:val="Compact"/>
            </w:pPr>
            <w:r>
              <w:t xml:space="preserve">$3.10</w:t>
            </w:r>
          </w:p>
        </w:tc>
        <w:tc>
          <w:tcPr/>
          <w:p>
            <w:pPr>
              <w:pStyle w:val="Compact"/>
            </w:pPr>
            <w:r>
              <w:t xml:space="preserve">+11.6% YoY</w:t>
            </w:r>
          </w:p>
        </w:tc>
      </w:tr>
      <w:tr>
        <w:tc>
          <w:tcPr/>
          <w:p>
            <w:pPr>
              <w:pStyle w:val="Compact"/>
            </w:pPr>
            <w:r>
              <w:t xml:space="preserve">Revenue</w:t>
            </w:r>
          </w:p>
        </w:tc>
        <w:tc>
          <w:tcPr/>
          <w:p>
            <w:pPr>
              <w:pStyle w:val="Compact"/>
            </w:pPr>
            <w:r>
              <w:t xml:space="preserve">~$3.17B</w:t>
            </w:r>
          </w:p>
        </w:tc>
        <w:tc>
          <w:tcPr/>
          <w:p>
            <w:pPr>
              <w:pStyle w:val="Compact"/>
            </w:pPr>
            <w:r>
              <w:t xml:space="preserve">—</w:t>
            </w:r>
          </w:p>
        </w:tc>
        <w:tc>
          <w:tcPr/>
          <w:p>
            <w:pPr>
              <w:pStyle w:val="Compact"/>
            </w:pPr>
            <w:r>
              <w:t xml:space="preserve">+34.4% YoY (Worldpay consolidation)</w:t>
            </w:r>
          </w:p>
        </w:tc>
      </w:tr>
      <w:tr>
        <w:tc>
          <w:tcPr/>
          <w:p>
            <w:pPr>
              <w:pStyle w:val="Compact"/>
            </w:pPr>
            <w:r>
              <w:t xml:space="preserve">FY2026 Adjusted EPS</w:t>
            </w:r>
          </w:p>
        </w:tc>
        <w:tc>
          <w:tcPr/>
          <w:p>
            <w:pPr>
              <w:pStyle w:val="Compact"/>
            </w:pPr>
            <w:r>
              <w:t xml:space="preserve">~</w:t>
            </w:r>
            <m:oMath>
              <m:r>
                <m:t>13.82</m:t>
              </m:r>
              <m:r>
                <m:rPr>
                  <m:sty m:val="p"/>
                </m:rPr>
                <m:t>–</m:t>
              </m:r>
            </m:oMath>
            <w:r>
              <w:t xml:space="preserve">13.84</w:t>
            </w:r>
          </w:p>
        </w:tc>
        <w:tc>
          <w:tcPr/>
          <w:p>
            <w:pPr>
              <w:pStyle w:val="Compact"/>
            </w:pPr>
            <w:r>
              <w:t xml:space="preserve">$12.22 (FY25)</w:t>
            </w:r>
          </w:p>
        </w:tc>
        <w:tc>
          <w:tcPr/>
          <w:p>
            <w:pPr>
              <w:pStyle w:val="Compact"/>
            </w:pPr>
            <w:r>
              <w:t xml:space="preserve">~13.1–13.3% YoY</w:t>
            </w:r>
          </w:p>
        </w:tc>
      </w:tr>
      <w:tr>
        <w:tc>
          <w:tcPr/>
          <w:p>
            <w:pPr>
              <w:pStyle w:val="Compact"/>
            </w:pPr>
            <w:r>
              <w:t xml:space="preserve">FY2027 Adjusted EPS (est.)</w:t>
            </w:r>
          </w:p>
        </w:tc>
        <w:tc>
          <w:tcPr/>
          <w:p>
            <w:pPr>
              <w:pStyle w:val="Compact"/>
            </w:pPr>
            <w:r>
              <w:t xml:space="preserve">~$16.38</w:t>
            </w:r>
          </w:p>
        </w:tc>
        <w:tc>
          <w:tcPr/>
          <w:p>
            <w:pPr>
              <w:pStyle w:val="Compact"/>
            </w:pPr>
            <w:r>
              <w:t xml:space="preserve">—</w:t>
            </w:r>
          </w:p>
        </w:tc>
        <w:tc>
          <w:tcPr/>
          <w:p>
            <w:pPr>
              <w:pStyle w:val="Compact"/>
            </w:pPr>
            <w:r>
              <w:t xml:space="preserve">+18.4% YoY</w:t>
            </w:r>
          </w:p>
        </w:tc>
      </w:tr>
    </w:tbl>
    <w:p>
      <w:pPr>
        <w:pStyle w:val="BodyText"/>
      </w:pPr>
      <w:r>
        <w:t xml:space="preserve">Note the FY2026 consensus sits right at the low end of GPN's own</w:t>
      </w:r>
      <w:r>
        <w:t xml:space="preserve"> </w:t>
      </w:r>
      <m:oMath>
        <m:r>
          <m:t>13.80</m:t>
        </m:r>
        <m:r>
          <m:rPr>
            <m:sty m:val="p"/>
          </m:rPr>
          <m:t>–</m:t>
        </m:r>
      </m:oMath>
      <w:r>
        <w:t xml:space="preserve">14.00 guidance range — leaving little room for disappointment on the full-year outlook without denting sentiment further, but also a low bar for a "beat and reaffirm" outcome. Track record is favorable: Global Payments' earnings beat the consensus estimate in three of the last four quarters and met once, with the average surprise being 2.1%. That said, quantitative models are more cautious this cycle — GPN has an Earnings ESP of -0.63% and a Zacks Rank #4 (Sell), and the Q2 earnings estimate saw no upward revisions over the past 60 days against six downward movements.</w:t>
      </w:r>
    </w:p>
    <w:bookmarkEnd w:id="12"/>
    <w:bookmarkStart w:id="13" w:name="X1916af4f9629108b0b80a9489e1fdd9677d5b9a"/>
    <w:p>
      <w:pPr>
        <w:pStyle w:val="Heading2"/>
      </w:pPr>
      <w:r>
        <w:t xml:space="preserve">5. Peer Read-Throughs This Season</w:t>
      </w:r>
    </w:p>
    <w:p>
      <w:pPr>
        <w:pStyle w:val="FirstParagraph"/>
      </w:pPr>
      <w:r>
        <w:t xml:space="preserve">The payments group has generally delivered strong prints in the run-up to GPN's report:</w:t>
      </w:r>
    </w:p>
    <w:p>
      <w:pPr>
        <w:pStyle w:val="Compact"/>
        <w:numPr>
          <w:ilvl w:val="0"/>
          <w:numId w:val="1002"/>
        </w:numPr>
      </w:pPr>
      <w:r>
        <w:rPr>
          <w:b/>
          <w:bCs/>
        </w:rPr>
        <w:t xml:space="preserve">Mastercard (MA):</w:t>
      </w:r>
      <w:r>
        <w:t xml:space="preserve"> </w:t>
      </w:r>
      <w:r>
        <w:t xml:space="preserve">reported Q2 EPS of $5.04, beating consensus of $4.77, driven by 14% sales growth to $9.27B, 120bps of operating margin expansion, and raised full-year guidance.</w:t>
      </w:r>
    </w:p>
    <w:p>
      <w:pPr>
        <w:pStyle w:val="Compact"/>
        <w:numPr>
          <w:ilvl w:val="0"/>
          <w:numId w:val="1002"/>
        </w:numPr>
      </w:pPr>
      <w:r>
        <w:rPr>
          <w:b/>
          <w:bCs/>
        </w:rPr>
        <w:t xml:space="preserve">Visa (V):</w:t>
      </w:r>
      <w:r>
        <w:t xml:space="preserve"> </w:t>
      </w:r>
      <w:r>
        <w:t xml:space="preserve">reported fiscal Q3 EPS of $3.32, beating estimates of $3.23, driven by resilient payment volumes and 45% YoY growth in value-added services, while also announcing a 7% workforce reduction (~2,600 people) as part of an efficiency push.</w:t>
      </w:r>
    </w:p>
    <w:p>
      <w:pPr>
        <w:pStyle w:val="Compact"/>
        <w:numPr>
          <w:ilvl w:val="0"/>
          <w:numId w:val="1002"/>
        </w:numPr>
      </w:pPr>
      <w:r>
        <w:rPr>
          <w:b/>
          <w:bCs/>
        </w:rPr>
        <w:t xml:space="preserve">FIS</w:t>
      </w:r>
      <w:r>
        <w:t xml:space="preserve"> </w:t>
      </w:r>
      <w:r>
        <w:t xml:space="preserve">(which now owns the divested Issuer Solutions business): reported Q1 EPS of $1.48 and revenue of $3.377B, in line with expectations, but lowered full-year EPS guidance to</w:t>
      </w:r>
      <w:r>
        <w:t xml:space="preserve"> </w:t>
      </w:r>
      <m:oMath>
        <m:r>
          <m:t>6.15</m:t>
        </m:r>
        <m:r>
          <m:rPr>
            <m:sty m:val="p"/>
          </m:rPr>
          <m:t>–</m:t>
        </m:r>
      </m:oMath>
      <w:r>
        <w:t xml:space="preserve">6.24 from</w:t>
      </w:r>
      <w:r>
        <w:t xml:space="preserve"> </w:t>
      </w:r>
      <m:oMath>
        <m:r>
          <m:t>6.22</m:t>
        </m:r>
        <m:r>
          <m:rPr>
            <m:sty m:val="p"/>
          </m:rPr>
          <m:t>–</m:t>
        </m:r>
      </m:oMath>
      <w:r>
        <w:t xml:space="preserve">6.32 — a reminder that not every payments name is riding the same tailwind.</w:t>
      </w:r>
    </w:p>
    <w:p>
      <w:pPr>
        <w:pStyle w:val="Compact"/>
        <w:numPr>
          <w:ilvl w:val="0"/>
          <w:numId w:val="1002"/>
        </w:numPr>
      </w:pPr>
      <w:r>
        <w:rPr>
          <w:b/>
          <w:bCs/>
        </w:rPr>
        <w:t xml:space="preserve">American Express/Synchrony:</w:t>
      </w:r>
      <w:r>
        <w:t xml:space="preserve"> </w:t>
      </w:r>
      <w:r>
        <w:t xml:space="preserve">both beat estimates, with resilient consumer spend as a common thread across the group.</w:t>
      </w:r>
    </w:p>
    <w:p>
      <w:pPr>
        <w:pStyle w:val="FirstParagraph"/>
      </w:pPr>
      <w:r>
        <w:t xml:space="preserve">The takeaway: consumer spending and card-network volumes have generally stayed resilient into mid-2026, supporting the read-through for GPN's merchant-facing volumes, though FIS's guide-down is a reminder that not every part of the payments value chain is firing evenly.</w:t>
      </w:r>
    </w:p>
    <w:bookmarkEnd w:id="13"/>
    <w:bookmarkStart w:id="14" w:name="X49e34d9056703e0521ab3ce2e920b2c4ba97a36"/>
    <w:p>
      <w:pPr>
        <w:pStyle w:val="Heading2"/>
      </w:pPr>
      <w:r>
        <w:t xml:space="preserve">6. Bottom Line</w:t>
      </w:r>
    </w:p>
    <w:p>
      <w:pPr>
        <w:pStyle w:val="FirstParagraph"/>
      </w:pPr>
      <w:r>
        <w:t xml:space="preserve">This is GPN's second full quarter as a "new," Worldpay-combined pure-play merchant/commerce company, and the second quarter in which the story is as much about</w:t>
      </w:r>
      <w:r>
        <w:t xml:space="preserve"> </w:t>
      </w:r>
      <w:r>
        <w:rPr>
          <w:b/>
          <w:bCs/>
        </w:rPr>
        <w:t xml:space="preserve">integration execution and disclosure (new segments)</w:t>
      </w:r>
      <w:r>
        <w:t xml:space="preserve"> </w:t>
      </w:r>
      <w:r>
        <w:t xml:space="preserve">as it is about a single quarter's beat/miss. The setup is unusual: the stock has already re-rated sharply higher on an analyst upgrade and improving sentiment, meaning expectations are no longer depressed — a "good enough" quarter may be insufficient to extend the rally, while any stumble on Genius momentum, synergy realization, Middle East travel normalization, or the new segment disclosures could trigger outsized downside given how far shares have run. Key swing factors to watch on the call: (1) confirmation that Genius bookings/yield momentum continued, (2) whether the up-to-100bps Middle East/tax headwind materialized as guided or was worse/better, (3) the shape of the newly disclosed segments, (4) updated commentary on synergy realization timing, and (5) the pace of buybacks and progress toward the 3x leverage target.</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2026-08-05T00:06:31Z</dcterms:created>
  <dcterms:modified xsi:type="dcterms:W3CDTF">2026-08-05T00:06:31Z</dcterms:modified>
</cp:coreProperties>
</file>

<file path=docProps/custom.xml><?xml version="1.0" encoding="utf-8"?>
<Properties xmlns="http://schemas.openxmlformats.org/officeDocument/2006/custom-properties" xmlns:vt="http://schemas.openxmlformats.org/officeDocument/2006/docPropsVTypes"/>
</file>