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50847a7e5662c03953b5aaf54bd095a38f051c"/>
    <w:p>
      <w:pPr>
        <w:pStyle w:val="Heading1"/>
      </w:pPr>
      <w:r>
        <w:t xml:space="preserve">Global Payments (GPN) 2026 Q2 Earnings Preview</w:t>
      </w:r>
    </w:p>
    <w:p>
      <w:pPr>
        <w:pStyle w:val="FirstParagraph"/>
      </w:pPr>
      <w:r>
        <w:t xml:space="preserve">Global Payments reports second-quarter results</w:t>
      </w:r>
      <w:r>
        <w:t xml:space="preserve"> </w:t>
      </w:r>
      <w:r>
        <w:rPr>
          <w:b/>
          <w:bCs/>
        </w:rPr>
        <w:t xml:space="preserve">before the market opens on Wednesday, August 5, 2026</w:t>
      </w:r>
      <w:r>
        <w:t xml:space="preserve">, followed by an</w:t>
      </w:r>
      <w:r>
        <w:t xml:space="preserve"> </w:t>
      </w:r>
      <w:r>
        <w:rPr>
          <w:b/>
          <w:bCs/>
        </w:rPr>
        <w:t xml:space="preserve">8:00 a.m. ET conference call</w:t>
      </w:r>
      <w:r>
        <w:t xml:space="preserve">. (</w:t>
      </w:r>
      <w:hyperlink r:id="rId9">
        <w:r>
          <w:rPr>
            <w:rStyle w:val="Hyperlink"/>
          </w:rPr>
          <w:t xml:space="preserve">investors.globalpayments.com</w:t>
        </w:r>
      </w:hyperlink>
      <w:r>
        <w:t xml:space="preserve">)</w:t>
      </w:r>
    </w:p>
    <w:bookmarkStart w:id="10" w:name="the-setup"/>
    <w:p>
      <w:pPr>
        <w:pStyle w:val="Heading2"/>
      </w:pPr>
      <w:r>
        <w:t xml:space="preserve">The setup</w:t>
      </w:r>
    </w:p>
    <w:p>
      <w:pPr>
        <w:pStyle w:val="FirstParagraph"/>
      </w:pPr>
      <w:r>
        <w:t xml:space="preserve">This report is less about whether GPN can modestly beat quarterly EPS and more about whether management can validate the</w:t>
      </w:r>
      <w:r>
        <w:t xml:space="preserve"> </w:t>
      </w:r>
      <w:r>
        <w:rPr>
          <w:b/>
          <w:bCs/>
        </w:rPr>
        <w:t xml:space="preserve">post-Worldpay growth and integration thesis</w:t>
      </w:r>
      <w:r>
        <w:t xml:space="preserve">.</w:t>
      </w:r>
    </w:p>
    <w:p>
      <w:pPr>
        <w:pStyle w:val="BodyText"/>
      </w:pPr>
      <w:r>
        <w:t xml:space="preserve">The company entered Q2 with encouraging commercial momentum, substantial cost-saving opportunities and aggressive share repurchases. At the same time, investors must look through unusually complicated comparisons caused by the January acquisition of Worldpay and the sale of Issuer Solutions.</w:t>
      </w:r>
    </w:p>
    <w:p>
      <w:pPr>
        <w:pStyle w:val="BodyText"/>
      </w:pPr>
      <w:r>
        <w:t xml:space="preserve">The key questions are:</w:t>
      </w:r>
    </w:p>
    <w:p>
      <w:pPr>
        <w:pStyle w:val="Compact"/>
        <w:numPr>
          <w:ilvl w:val="0"/>
          <w:numId w:val="1001"/>
        </w:numPr>
      </w:pPr>
      <w:r>
        <w:t xml:space="preserve">Did underlying revenue growth hold up despite the known travel and tax-payment headwinds?</w:t>
      </w:r>
    </w:p>
    <w:p>
      <w:pPr>
        <w:pStyle w:val="Compact"/>
        <w:numPr>
          <w:ilvl w:val="0"/>
          <w:numId w:val="1001"/>
        </w:numPr>
      </w:pPr>
      <w:r>
        <w:t xml:space="preserve">Is Worldpay integration progressing quickly enough to support the margin outlook?</w:t>
      </w:r>
    </w:p>
    <w:p>
      <w:pPr>
        <w:pStyle w:val="Compact"/>
        <w:numPr>
          <w:ilvl w:val="0"/>
          <w:numId w:val="1001"/>
        </w:numPr>
      </w:pPr>
      <w:r>
        <w:t xml:space="preserve">Is Genius becoming a meaningful growth driver rather than simply a promising product?</w:t>
      </w:r>
    </w:p>
    <w:p>
      <w:pPr>
        <w:pStyle w:val="Compact"/>
        <w:numPr>
          <w:ilvl w:val="0"/>
          <w:numId w:val="1001"/>
        </w:numPr>
      </w:pPr>
      <w:r>
        <w:t xml:space="preserve">Can management reaffirm—or improve—the second-half growth trajectory?</w:t>
      </w:r>
    </w:p>
    <w:p>
      <w:pPr>
        <w:pStyle w:val="Compact"/>
        <w:numPr>
          <w:ilvl w:val="0"/>
          <w:numId w:val="1001"/>
        </w:numPr>
      </w:pPr>
      <w:r>
        <w:t xml:space="preserve">Are free cash flow and leverage developing consistently with the capital-return plan?</w:t>
      </w:r>
    </w:p>
    <w:bookmarkEnd w:id="10"/>
    <w:bookmarkStart w:id="12" w:name="consensus-snapshot"/>
    <w:p>
      <w:pPr>
        <w:pStyle w:val="Heading2"/>
      </w:pPr>
      <w:r>
        <w:t xml:space="preserve">Consensus snapshot</w:t>
      </w:r>
    </w:p>
    <w:p>
      <w:pPr>
        <w:pStyle w:val="FirstParagraph"/>
      </w:pPr>
      <w:r>
        <w:t xml:space="preserve">Published estimates vary slightly by provider: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Approximate consensus</w:t>
            </w:r>
          </w:p>
        </w:tc>
      </w:tr>
      <w:tr>
        <w:tc>
          <w:tcPr/>
          <w:p>
            <w:pPr>
              <w:pStyle w:val="Compact"/>
            </w:pPr>
            <w:r>
              <w:t xml:space="preserve">Adjusted EPS</w:t>
            </w:r>
          </w:p>
        </w:tc>
        <w:tc>
          <w:tcPr/>
          <w:p>
            <w:pPr>
              <w:pStyle w:val="Compact"/>
              <w:jc w:val="right"/>
            </w:pPr>
            <m:oMath>
              <m:r>
                <m:t>3.44</m:t>
              </m:r>
              <m:r>
                <m:rPr>
                  <m:sty m:val="p"/>
                </m:rPr>
                <m:t>–</m:t>
              </m:r>
            </m:oMath>
            <w:r>
              <w:rPr>
                <w:b/>
                <w:bCs/>
              </w:rPr>
              <w:t xml:space="preserve">3.48</w:t>
            </w:r>
          </w:p>
        </w:tc>
      </w:tr>
      <w:tr>
        <w:tc>
          <w:tcPr/>
          <w:p>
            <w:pPr>
              <w:pStyle w:val="Compact"/>
            </w:pPr>
            <w:r>
              <w:t xml:space="preserve">Revenue / adjusted net revenue</w:t>
            </w:r>
          </w:p>
        </w:tc>
        <w:tc>
          <w:tcPr/>
          <w:p>
            <w:pPr>
              <w:pStyle w:val="Compact"/>
              <w:jc w:val="right"/>
            </w:pPr>
            <m:oMath>
              <m:r>
                <m:t>3.16</m:t>
              </m:r>
              <m:r>
                <m:rPr>
                  <m:sty m:val="p"/>
                </m:rPr>
                <m:t>–</m:t>
              </m:r>
            </m:oMath>
            <w:r>
              <w:rPr>
                <w:b/>
                <w:bCs/>
              </w:rPr>
              <w:t xml:space="preserve">3.17 billion</w:t>
            </w:r>
          </w:p>
        </w:tc>
      </w:tr>
      <w:tr>
        <w:tc>
          <w:tcPr/>
          <w:p>
            <w:pPr>
              <w:pStyle w:val="Compact"/>
            </w:pPr>
            <w:r>
              <w:t xml:space="preserve">FY2026 adjusted EPS</w:t>
            </w:r>
          </w:p>
        </w:tc>
        <w:tc>
          <w:tcPr/>
          <w:p>
            <w:pPr>
              <w:pStyle w:val="Compact"/>
              <w:jc w:val="right"/>
            </w:pPr>
            <w:r>
              <w:rPr>
                <w:b/>
                <w:bCs/>
              </w:rPr>
              <w:t xml:space="preserve">$13.82</w:t>
            </w:r>
          </w:p>
        </w:tc>
      </w:tr>
      <w:tr>
        <w:tc>
          <w:tcPr/>
          <w:p>
            <w:pPr>
              <w:pStyle w:val="Compact"/>
            </w:pPr>
            <w:r>
              <w:t xml:space="preserve">FY2027 adjusted EPS</w:t>
            </w:r>
          </w:p>
        </w:tc>
        <w:tc>
          <w:tcPr/>
          <w:p>
            <w:pPr>
              <w:pStyle w:val="Compact"/>
              <w:jc w:val="right"/>
            </w:pPr>
            <w:r>
              <w:rPr>
                <w:b/>
                <w:bCs/>
              </w:rPr>
              <w:t xml:space="preserve">$16.38</w:t>
            </w:r>
          </w:p>
        </w:tc>
      </w:tr>
    </w:tbl>
    <w:p>
      <w:pPr>
        <w:pStyle w:val="BodyText"/>
      </w:pPr>
      <w:r>
        <w:t xml:space="preserve">The midpoint quarterly EPS estimate implies roughly</w:t>
      </w:r>
      <w:r>
        <w:t xml:space="preserve"> </w:t>
      </w:r>
      <w:r>
        <w:rPr>
          <w:b/>
          <w:bCs/>
        </w:rPr>
        <w:t xml:space="preserve">12% growth</w:t>
      </w:r>
      <w:r>
        <w:t xml:space="preserve"> </w:t>
      </w:r>
      <w:r>
        <w:t xml:space="preserve">from the prior-year quarter's $3.10. (</w:t>
      </w:r>
      <w:hyperlink r:id="rId11">
        <w:r>
          <w:rPr>
            <w:rStyle w:val="Hyperlink"/>
          </w:rPr>
          <w:t xml:space="preserve">benzinga.com</w:t>
        </w:r>
      </w:hyperlink>
      <w:r>
        <w:t xml:space="preserve">)</w:t>
      </w:r>
    </w:p>
    <w:p>
      <w:pPr>
        <w:pStyle w:val="BodyText"/>
      </w:pPr>
      <w:r>
        <w:t xml:space="preserve">The stock closed around</w:t>
      </w:r>
      <w:r>
        <w:t xml:space="preserve"> </w:t>
      </w:r>
      <w:r>
        <w:rPr>
          <w:b/>
          <w:bCs/>
        </w:rPr>
        <w:t xml:space="preserve">$88.25 on August 4</w:t>
      </w:r>
      <w:r>
        <w:t xml:space="preserve">, up approximately 17% since the beginning of the year and about 27% since the May 6 Q1 report. At that price, GPN trades near</w:t>
      </w:r>
      <w:r>
        <w:t xml:space="preserve"> </w:t>
      </w:r>
      <w:r>
        <w:rPr>
          <w:b/>
          <w:bCs/>
        </w:rPr>
        <w:t xml:space="preserve">6.4 times FY2026 consensus adjusted EPS</w:t>
      </w:r>
      <w:r>
        <w:t xml:space="preserve"> </w:t>
      </w:r>
      <w:r>
        <w:t xml:space="preserve">and 5.4 times FY2027 estimates. That valuation is optically inexpensive, but it also reflects investor skepticism about organic growth, integration risk, leverage and the large gap between GAAP and adjusted results.</w:t>
      </w:r>
    </w:p>
    <w:bookmarkEnd w:id="12"/>
    <w:bookmarkStart w:id="14" w:name="starting-point-a-solid-first-quarter"/>
    <w:p>
      <w:pPr>
        <w:pStyle w:val="Heading2"/>
      </w:pPr>
      <w:r>
        <w:t xml:space="preserve">Starting point: a solid first quarter</w:t>
      </w:r>
    </w:p>
    <w:p>
      <w:pPr>
        <w:pStyle w:val="FirstParagraph"/>
      </w:pPr>
      <w:r>
        <w:t xml:space="preserve">GPN reported Q1 adjusted EPS of</w:t>
      </w:r>
      <w:r>
        <w:t xml:space="preserve"> </w:t>
      </w:r>
      <m:oMath>
        <m:r>
          <m:t>2.96</m:t>
        </m:r>
        <m:r>
          <m:rPr>
            <m:sty m:val="p"/>
          </m:rPr>
          <m:t>*</m:t>
        </m:r>
        <m:r>
          <m:rPr>
            <m:sty m:val="p"/>
          </m:rPr>
          <m:t>*</m:t>
        </m:r>
        <m:r>
          <m:rPr>
            <m:sty m:val="p"/>
          </m:rPr>
          <m:t>,</m:t>
        </m:r>
        <m:r>
          <m:t>u</m:t>
        </m:r>
        <m:r>
          <m:t>p</m:t>
        </m:r>
        <m:r>
          <m:t>10</m:t>
        </m:r>
      </m:oMath>
      <w:r>
        <w:rPr>
          <w:b/>
          <w:bCs/>
        </w:rPr>
        <w:t xml:space="preserve">2.86 billion</w:t>
      </w:r>
      <w:r>
        <w:t xml:space="preserve">. On a normalized basis—including pre-acquisition Worldpay results and excluding Issuer Solutions and other dispositions—adjusted net revenue grew approximately</w:t>
      </w:r>
      <w:r>
        <w:t xml:space="preserve"> </w:t>
      </w:r>
      <w:r>
        <w:rPr>
          <w:b/>
          <w:bCs/>
        </w:rPr>
        <w:t xml:space="preserve">5.5% reported and 4.5% in constant currency</w:t>
      </w:r>
      <w:r>
        <w:t xml:space="preserve">. Normalized adjusted operating margin expanded 110 basis points to 39.9%. (</w:t>
      </w:r>
      <w:hyperlink r:id="rId13">
        <w:r>
          <w:rPr>
            <w:rStyle w:val="Hyperlink"/>
          </w:rPr>
          <w:t xml:space="preserve">investors.globalpayments.com</w:t>
        </w:r>
      </w:hyperlink>
      <w:r>
        <w:t xml:space="preserve">)</w:t>
      </w:r>
    </w:p>
    <w:p>
      <w:pPr>
        <w:pStyle w:val="BodyText"/>
      </w:pPr>
      <w:r>
        <w:t xml:space="preserve">Management reaffirmed its 2026 targets:</w:t>
      </w:r>
    </w:p>
    <w:p>
      <w:pPr>
        <w:pStyle w:val="Compact"/>
        <w:numPr>
          <w:ilvl w:val="0"/>
          <w:numId w:val="1002"/>
        </w:numPr>
      </w:pPr>
      <w:r>
        <w:t xml:space="preserve">Approximately</w:t>
      </w:r>
      <w:r>
        <w:t xml:space="preserve"> </w:t>
      </w:r>
      <w:r>
        <w:rPr>
          <w:b/>
          <w:bCs/>
        </w:rPr>
        <w:t xml:space="preserve">5% normalized constant-currency adjusted net revenue growth</w:t>
      </w:r>
    </w:p>
    <w:p>
      <w:pPr>
        <w:pStyle w:val="Compact"/>
        <w:numPr>
          <w:ilvl w:val="0"/>
          <w:numId w:val="1002"/>
        </w:numPr>
      </w:pPr>
      <w:r>
        <w:t xml:space="preserve">Approximately</w:t>
      </w:r>
      <w:r>
        <w:t xml:space="preserve"> </w:t>
      </w:r>
      <w:r>
        <w:rPr>
          <w:b/>
          <w:bCs/>
        </w:rPr>
        <w:t xml:space="preserve">150 basis points of normalized adjusted operating-margin expansion</w:t>
      </w:r>
    </w:p>
    <w:p>
      <w:pPr>
        <w:pStyle w:val="Compact"/>
        <w:numPr>
          <w:ilvl w:val="0"/>
          <w:numId w:val="1002"/>
        </w:numPr>
      </w:pPr>
      <w:r>
        <w:t xml:space="preserve">Adjusted EPS of</w:t>
      </w:r>
      <w:r>
        <w:t xml:space="preserve"> </w:t>
      </w:r>
      <m:oMath>
        <m:r>
          <m:t>13.80</m:t>
        </m:r>
        <m:r>
          <m:rPr>
            <m:sty m:val="p"/>
          </m:rPr>
          <m:t>–</m:t>
        </m:r>
      </m:oMath>
      <w:r>
        <w:rPr>
          <w:b/>
          <w:bCs/>
        </w:rPr>
        <w:t xml:space="preserve">14.00</w:t>
      </w:r>
    </w:p>
    <w:p>
      <w:pPr>
        <w:pStyle w:val="Compact"/>
        <w:numPr>
          <w:ilvl w:val="0"/>
          <w:numId w:val="1002"/>
        </w:numPr>
      </w:pPr>
      <w:r>
        <w:t xml:space="preserve">Adjusted free-cash-flow conversion above</w:t>
      </w:r>
      <w:r>
        <w:t xml:space="preserve"> </w:t>
      </w:r>
      <w:r>
        <w:rPr>
          <w:b/>
          <w:bCs/>
        </w:rPr>
        <w:t xml:space="preserve">90%</w:t>
      </w:r>
    </w:p>
    <w:p>
      <w:pPr>
        <w:pStyle w:val="Compact"/>
        <w:numPr>
          <w:ilvl w:val="0"/>
          <w:numId w:val="1002"/>
        </w:numPr>
      </w:pPr>
      <w:r>
        <w:t xml:space="preserve">More than</w:t>
      </w:r>
      <w:r>
        <w:t xml:space="preserve"> </w:t>
      </w:r>
      <w:r>
        <w:rPr>
          <w:b/>
          <w:bCs/>
        </w:rPr>
        <w:t xml:space="preserve">$2 billion</w:t>
      </w:r>
      <w:r>
        <w:t xml:space="preserve"> </w:t>
      </w:r>
      <w:r>
        <w:t xml:space="preserve">of 2026 dividends and repurchases</w:t>
      </w:r>
    </w:p>
    <w:p>
      <w:pPr>
        <w:pStyle w:val="Compact"/>
        <w:numPr>
          <w:ilvl w:val="0"/>
          <w:numId w:val="1002"/>
        </w:numPr>
      </w:pPr>
      <w:r>
        <w:t xml:space="preserve">Approximately</w:t>
      </w:r>
      <w:r>
        <w:t xml:space="preserve"> </w:t>
      </w:r>
      <w:r>
        <w:rPr>
          <w:b/>
          <w:bCs/>
        </w:rPr>
        <w:t xml:space="preserve">$1 billion</w:t>
      </w:r>
      <w:r>
        <w:t xml:space="preserve"> </w:t>
      </w:r>
      <w:r>
        <w:t xml:space="preserve">of capital expenditures</w:t>
      </w:r>
    </w:p>
    <w:p>
      <w:pPr>
        <w:pStyle w:val="FirstParagraph"/>
      </w:pPr>
      <w:r>
        <w:t xml:space="preserve">Because the current FY2026 EPS consensus is close to the bottom of guidance, simply reaffirming the range should not be a major positive. The quality of that reaffirmation—and management's confidence in the second half—will matter more.</w:t>
      </w:r>
    </w:p>
    <w:bookmarkEnd w:id="14"/>
    <w:bookmarkStart w:id="21" w:name="what-to-watch"/>
    <w:p>
      <w:pPr>
        <w:pStyle w:val="Heading2"/>
      </w:pPr>
      <w:r>
        <w:t xml:space="preserve">What to watch</w:t>
      </w:r>
    </w:p>
    <w:bookmarkStart w:id="15" w:name="Xc9310213937cb4351c1cdee8853d7e72fb62ec4"/>
    <w:p>
      <w:pPr>
        <w:pStyle w:val="Heading3"/>
      </w:pPr>
      <w:r>
        <w:t xml:space="preserve">1. Normalized revenue growth and the second-half bridge</w:t>
      </w:r>
    </w:p>
    <w:p>
      <w:pPr>
        <w:pStyle w:val="FirstParagraph"/>
      </w:pPr>
      <w:r>
        <w:t xml:space="preserve">Management warned that Middle East airline disruption and softer government tax-payment volumes could create an aggregate headwind of as much as</w:t>
      </w:r>
      <w:r>
        <w:t xml:space="preserve"> </w:t>
      </w:r>
      <w:r>
        <w:rPr>
          <w:b/>
          <w:bCs/>
        </w:rPr>
        <w:t xml:space="preserve">100 basis points to Q2 adjusted net revenue growth</w:t>
      </w:r>
      <w:r>
        <w:t xml:space="preserve">. Currency was expected to be roughly neutral.</w:t>
      </w:r>
    </w:p>
    <w:p>
      <w:pPr>
        <w:pStyle w:val="BodyText"/>
      </w:pPr>
      <w:r>
        <w:t xml:space="preserve">The travel exposure is meaningful: GPN processes payments for the 12 largest Middle Eastern airlines. At its June 10 Mizuho conference appearance, management said airline capacity reductions were running between roughly 30% and 70% depending on the carrier, and reiterated that the Q2 headwind remained consistent with its prior forecast.</w:t>
      </w:r>
    </w:p>
    <w:p>
      <w:pPr>
        <w:pStyle w:val="BodyText"/>
      </w:pPr>
      <w:r>
        <w:t xml:space="preserve">Management's full-year outlook assumed that travel would begin normalizing after Q2 and that normalized revenue growth would exceed 5% in the second half. Investors should therefore focus on:</w:t>
      </w:r>
    </w:p>
    <w:p>
      <w:pPr>
        <w:pStyle w:val="Compact"/>
        <w:numPr>
          <w:ilvl w:val="0"/>
          <w:numId w:val="1003"/>
        </w:numPr>
      </w:pPr>
      <w:r>
        <w:t xml:space="preserve">Q2 normalized constant-currency growth after dispositions</w:t>
      </w:r>
    </w:p>
    <w:p>
      <w:pPr>
        <w:pStyle w:val="Compact"/>
        <w:numPr>
          <w:ilvl w:val="0"/>
          <w:numId w:val="1003"/>
        </w:numPr>
      </w:pPr>
      <w:r>
        <w:t xml:space="preserve">Whether the travel impact remained within the expected 100-basis-point envelope</w:t>
      </w:r>
    </w:p>
    <w:p>
      <w:pPr>
        <w:pStyle w:val="Compact"/>
        <w:numPr>
          <w:ilvl w:val="0"/>
          <w:numId w:val="1003"/>
        </w:numPr>
      </w:pPr>
      <w:r>
        <w:t xml:space="preserve">The current state of airline volumes</w:t>
      </w:r>
    </w:p>
    <w:p>
      <w:pPr>
        <w:pStyle w:val="Compact"/>
        <w:numPr>
          <w:ilvl w:val="0"/>
          <w:numId w:val="1003"/>
        </w:numPr>
      </w:pPr>
      <w:r>
        <w:t xml:space="preserve">Whether management still expects</w:t>
      </w:r>
      <w:r>
        <w:t xml:space="preserve"> </w:t>
      </w:r>
      <w:r>
        <w:rPr>
          <w:b/>
          <w:bCs/>
        </w:rPr>
        <w:t xml:space="preserve">greater than 5% growth in the second half</w:t>
      </w:r>
    </w:p>
    <w:p>
      <w:pPr>
        <w:pStyle w:val="Compact"/>
        <w:numPr>
          <w:ilvl w:val="0"/>
          <w:numId w:val="1003"/>
        </w:numPr>
      </w:pPr>
      <w:r>
        <w:t xml:space="preserve">Any change in consumer spending, particularly discretionary and travel categories</w:t>
      </w:r>
    </w:p>
    <w:p>
      <w:pPr>
        <w:pStyle w:val="FirstParagraph"/>
      </w:pPr>
      <w:r>
        <w:t xml:space="preserve">A small Q2 revenue miss may be tolerated if the headwind is clearly temporary and second-half visibility remains intact. A reduction in the second-half growth expectation would be much more consequential.</w:t>
      </w:r>
    </w:p>
    <w:bookmarkEnd w:id="15"/>
    <w:bookmarkStart w:id="16" w:name="X74de220aac51db6c55ee79faad3c1377ac57e6a"/>
    <w:p>
      <w:pPr>
        <w:pStyle w:val="Heading3"/>
      </w:pPr>
      <w:r>
        <w:t xml:space="preserve">2. Worldpay integration and expense synergies</w:t>
      </w:r>
    </w:p>
    <w:p>
      <w:pPr>
        <w:pStyle w:val="FirstParagraph"/>
      </w:pPr>
      <w:r>
        <w:t xml:space="preserve">Worldpay closed on January 9, making Q2 the first complete quarter with the acquired business under GPN ownership.</w:t>
      </w:r>
    </w:p>
    <w:p>
      <w:pPr>
        <w:pStyle w:val="BodyText"/>
      </w:pPr>
      <w:r>
        <w:t xml:space="preserve">Management's targets include:</w:t>
      </w:r>
    </w:p>
    <w:p>
      <w:pPr>
        <w:pStyle w:val="Compact"/>
        <w:numPr>
          <w:ilvl w:val="0"/>
          <w:numId w:val="1004"/>
        </w:numPr>
      </w:pPr>
      <w:r>
        <w:t xml:space="preserve">Approximately</w:t>
      </w:r>
      <w:r>
        <w:t xml:space="preserve"> </w:t>
      </w:r>
      <m:oMath>
        <m:r>
          <m:t>70</m:t>
        </m:r>
        <m:r>
          <m:rPr>
            <m:sty m:val="p"/>
          </m:rPr>
          <m:t>–</m:t>
        </m:r>
      </m:oMath>
      <w:r>
        <w:rPr>
          <w:b/>
          <w:bCs/>
        </w:rPr>
        <w:t xml:space="preserve">80 million of realized cost synergies in 2026</w:t>
      </w:r>
    </w:p>
    <w:p>
      <w:pPr>
        <w:pStyle w:val="Compact"/>
        <w:numPr>
          <w:ilvl w:val="0"/>
          <w:numId w:val="1004"/>
        </w:numPr>
      </w:pPr>
      <w:r>
        <w:t xml:space="preserve">A</w:t>
      </w:r>
      <w:r>
        <w:t xml:space="preserve"> </w:t>
      </w:r>
      <w:r>
        <w:rPr>
          <w:b/>
          <w:bCs/>
        </w:rPr>
        <w:t xml:space="preserve">$150 million exit run rate</w:t>
      </w:r>
      <w:r>
        <w:t xml:space="preserve"> </w:t>
      </w:r>
      <w:r>
        <w:t xml:space="preserve">at the end of 2026</w:t>
      </w:r>
    </w:p>
    <w:p>
      <w:pPr>
        <w:pStyle w:val="Compact"/>
        <w:numPr>
          <w:ilvl w:val="0"/>
          <w:numId w:val="1004"/>
        </w:numPr>
      </w:pPr>
      <w:r>
        <w:t xml:space="preserve">A $350 million exit run rate in 2027</w:t>
      </w:r>
    </w:p>
    <w:p>
      <w:pPr>
        <w:pStyle w:val="Compact"/>
        <w:numPr>
          <w:ilvl w:val="0"/>
          <w:numId w:val="1004"/>
        </w:numPr>
      </w:pPr>
      <w:r>
        <w:rPr>
          <w:b/>
          <w:bCs/>
        </w:rPr>
        <w:t xml:space="preserve">$600 million of annual run-rate expense synergies by the end of 2028</w:t>
      </w:r>
    </w:p>
    <w:p>
      <w:pPr>
        <w:pStyle w:val="Compact"/>
        <w:numPr>
          <w:ilvl w:val="0"/>
          <w:numId w:val="1004"/>
        </w:numPr>
      </w:pPr>
      <w:r>
        <w:t xml:space="preserve">$200 million of annual run-rate revenue synergies exiting 2028</w:t>
      </w:r>
    </w:p>
    <w:p>
      <w:pPr>
        <w:pStyle w:val="FirstParagraph"/>
      </w:pPr>
      <w:r>
        <w:t xml:space="preserve">Management said in June that it had detailed plans identifying the source of every dollar of targeted expense synergies and remained on schedule. Tomorrow, investors should look for quantified progress rather than another general statement that integration is “on track.”</w:t>
      </w:r>
    </w:p>
    <w:p>
      <w:pPr>
        <w:pStyle w:val="BodyText"/>
      </w:pPr>
      <w:r>
        <w:t xml:space="preserve">Particularly useful disclosures would include:</w:t>
      </w:r>
    </w:p>
    <w:p>
      <w:pPr>
        <w:pStyle w:val="Compact"/>
        <w:numPr>
          <w:ilvl w:val="0"/>
          <w:numId w:val="1005"/>
        </w:numPr>
      </w:pPr>
      <w:r>
        <w:t xml:space="preserve">Cost synergies realized during Q2 and year to date</w:t>
      </w:r>
    </w:p>
    <w:p>
      <w:pPr>
        <w:pStyle w:val="Compact"/>
        <w:numPr>
          <w:ilvl w:val="0"/>
          <w:numId w:val="1005"/>
        </w:numPr>
      </w:pPr>
      <w:r>
        <w:t xml:space="preserve">Restructuring and integration costs</w:t>
      </w:r>
    </w:p>
    <w:p>
      <w:pPr>
        <w:pStyle w:val="Compact"/>
        <w:numPr>
          <w:ilvl w:val="0"/>
          <w:numId w:val="1005"/>
        </w:numPr>
      </w:pPr>
      <w:r>
        <w:t xml:space="preserve">Employee and technology-platform consolidation milestones</w:t>
      </w:r>
    </w:p>
    <w:p>
      <w:pPr>
        <w:pStyle w:val="Compact"/>
        <w:numPr>
          <w:ilvl w:val="0"/>
          <w:numId w:val="1005"/>
        </w:numPr>
      </w:pPr>
      <w:r>
        <w:t xml:space="preserve">Updated timing for the target technology architecture</w:t>
      </w:r>
    </w:p>
    <w:p>
      <w:pPr>
        <w:pStyle w:val="Compact"/>
        <w:numPr>
          <w:ilvl w:val="0"/>
          <w:numId w:val="1005"/>
        </w:numPr>
      </w:pPr>
      <w:r>
        <w:t xml:space="preserve">Customer retention and service performance during integration</w:t>
      </w:r>
    </w:p>
    <w:p>
      <w:pPr>
        <w:pStyle w:val="Compact"/>
        <w:numPr>
          <w:ilvl w:val="0"/>
          <w:numId w:val="1005"/>
        </w:numPr>
      </w:pPr>
      <w:r>
        <w:t xml:space="preserve">Any increase—or slippage—in the synergy objectives</w:t>
      </w:r>
    </w:p>
    <w:p>
      <w:pPr>
        <w:pStyle w:val="FirstParagraph"/>
      </w:pPr>
      <w:r>
        <w:t xml:space="preserve">The combination's strategic logic is compelling, but the integration is large. Cost savings achieved without disrupting revenue growth or service levels would be one of the strongest signals in the report.</w:t>
      </w:r>
    </w:p>
    <w:bookmarkEnd w:id="16"/>
    <w:bookmarkStart w:id="17" w:name="Xa2f1d120912da31717886fd42d63c8fa0540fd1"/>
    <w:p>
      <w:pPr>
        <w:pStyle w:val="Heading3"/>
      </w:pPr>
      <w:r>
        <w:t xml:space="preserve">3. Genius: bookings are good, realized revenue is better</w:t>
      </w:r>
    </w:p>
    <w:p>
      <w:pPr>
        <w:pStyle w:val="FirstParagraph"/>
      </w:pPr>
      <w:r>
        <w:t xml:space="preserve">Genius is central to GPN's effort to improve its position in restaurant and retail point-of-sale software.</w:t>
      </w:r>
    </w:p>
    <w:p>
      <w:pPr>
        <w:pStyle w:val="BodyText"/>
      </w:pPr>
      <w:r>
        <w:t xml:space="preserve">Q1 indicators were strong:</w:t>
      </w:r>
    </w:p>
    <w:p>
      <w:pPr>
        <w:pStyle w:val="Compact"/>
        <w:numPr>
          <w:ilvl w:val="0"/>
          <w:numId w:val="1006"/>
        </w:numPr>
      </w:pPr>
      <w:r>
        <w:t xml:space="preserve">Genius bookings nearly doubled year over year</w:t>
      </w:r>
    </w:p>
    <w:p>
      <w:pPr>
        <w:pStyle w:val="Compact"/>
        <w:numPr>
          <w:ilvl w:val="0"/>
          <w:numId w:val="1006"/>
        </w:numPr>
      </w:pPr>
      <w:r>
        <w:t xml:space="preserve">Bookings increased more than 25% sequentially</w:t>
      </w:r>
    </w:p>
    <w:p>
      <w:pPr>
        <w:pStyle w:val="Compact"/>
        <w:numPr>
          <w:ilvl w:val="0"/>
          <w:numId w:val="1006"/>
        </w:numPr>
      </w:pPr>
      <w:r>
        <w:t xml:space="preserve">New Genius locations increased approximately 25%</w:t>
      </w:r>
    </w:p>
    <w:p>
      <w:pPr>
        <w:pStyle w:val="Compact"/>
        <w:numPr>
          <w:ilvl w:val="0"/>
          <w:numId w:val="1006"/>
        </w:numPr>
      </w:pPr>
      <w:r>
        <w:t xml:space="preserve">Payment attachment improved more than 20%</w:t>
      </w:r>
    </w:p>
    <w:p>
      <w:pPr>
        <w:pStyle w:val="Compact"/>
        <w:numPr>
          <w:ilvl w:val="0"/>
          <w:numId w:val="1006"/>
        </w:numPr>
      </w:pPr>
      <w:r>
        <w:t xml:space="preserve">Yields on new clients increased more than 30%</w:t>
      </w:r>
    </w:p>
    <w:p>
      <w:pPr>
        <w:pStyle w:val="Compact"/>
        <w:numPr>
          <w:ilvl w:val="0"/>
          <w:numId w:val="1006"/>
        </w:numPr>
      </w:pPr>
      <w:r>
        <w:t xml:space="preserve">Marketing-qualified retail and small-restaurant leads increased 36%</w:t>
      </w:r>
    </w:p>
    <w:p>
      <w:pPr>
        <w:pStyle w:val="Compact"/>
        <w:numPr>
          <w:ilvl w:val="0"/>
          <w:numId w:val="1006"/>
        </w:numPr>
      </w:pPr>
      <w:r>
        <w:t xml:space="preserve">Management had onboarded approximately 300 of a planned 500 additional North American salespeople</w:t>
      </w:r>
    </w:p>
    <w:p>
      <w:pPr>
        <w:pStyle w:val="FirstParagraph"/>
      </w:pPr>
      <w:r>
        <w:t xml:space="preserve">Management subsequently introduced an AI-enabled handheld, kiosks and conversational business-management features for Genius.</w:t>
      </w:r>
    </w:p>
    <w:p>
      <w:pPr>
        <w:pStyle w:val="BodyText"/>
      </w:pPr>
      <w:r>
        <w:t xml:space="preserve">Investors should distinguish between</w:t>
      </w:r>
      <w:r>
        <w:t xml:space="preserve"> </w:t>
      </w:r>
      <w:r>
        <w:rPr>
          <w:b/>
          <w:bCs/>
        </w:rPr>
        <w:t xml:space="preserve">bookings, installed locations and actual revenue</w:t>
      </w:r>
      <w:r>
        <w:t xml:space="preserve">. The most important Q2 indicators are:</w:t>
      </w:r>
    </w:p>
    <w:p>
      <w:pPr>
        <w:pStyle w:val="Compact"/>
        <w:numPr>
          <w:ilvl w:val="0"/>
          <w:numId w:val="1007"/>
        </w:numPr>
      </w:pPr>
      <w:r>
        <w:t xml:space="preserve">New-location growth and implementation speed</w:t>
      </w:r>
    </w:p>
    <w:p>
      <w:pPr>
        <w:pStyle w:val="Compact"/>
        <w:numPr>
          <w:ilvl w:val="0"/>
          <w:numId w:val="1007"/>
        </w:numPr>
      </w:pPr>
      <w:r>
        <w:t xml:space="preserve">Payment attach rates</w:t>
      </w:r>
    </w:p>
    <w:p>
      <w:pPr>
        <w:pStyle w:val="Compact"/>
        <w:numPr>
          <w:ilvl w:val="0"/>
          <w:numId w:val="1007"/>
        </w:numPr>
      </w:pPr>
      <w:r>
        <w:t xml:space="preserve">Revenue per merchant or yield</w:t>
      </w:r>
    </w:p>
    <w:p>
      <w:pPr>
        <w:pStyle w:val="Compact"/>
        <w:numPr>
          <w:ilvl w:val="0"/>
          <w:numId w:val="1007"/>
        </w:numPr>
      </w:pPr>
      <w:r>
        <w:t xml:space="preserve">Competitive replacement wins</w:t>
      </w:r>
    </w:p>
    <w:p>
      <w:pPr>
        <w:pStyle w:val="Compact"/>
        <w:numPr>
          <w:ilvl w:val="0"/>
          <w:numId w:val="1007"/>
        </w:numPr>
      </w:pPr>
      <w:r>
        <w:t xml:space="preserve">Sales productivity among recently hired representatives</w:t>
      </w:r>
    </w:p>
    <w:p>
      <w:pPr>
        <w:pStyle w:val="Compact"/>
        <w:numPr>
          <w:ilvl w:val="0"/>
          <w:numId w:val="1007"/>
        </w:numPr>
      </w:pPr>
      <w:r>
        <w:t xml:space="preserve">Penetration of Worldpay's direct, bank and ISO channels</w:t>
      </w:r>
    </w:p>
    <w:p>
      <w:pPr>
        <w:pStyle w:val="Compact"/>
        <w:numPr>
          <w:ilvl w:val="0"/>
          <w:numId w:val="1007"/>
        </w:numPr>
      </w:pPr>
      <w:r>
        <w:t xml:space="preserve">Enterprise deployments, including CKE and Subway</w:t>
      </w:r>
    </w:p>
    <w:p>
      <w:pPr>
        <w:pStyle w:val="Compact"/>
        <w:numPr>
          <w:ilvl w:val="0"/>
          <w:numId w:val="1007"/>
        </w:numPr>
      </w:pPr>
      <w:r>
        <w:t xml:space="preserve">International adoption</w:t>
      </w:r>
    </w:p>
    <w:p>
      <w:pPr>
        <w:pStyle w:val="FirstParagraph"/>
      </w:pPr>
      <w:r>
        <w:t xml:space="preserve">Continued high bookings growth is encouraging, but accelerating installations and payment volume would provide stronger evidence that Genius can lift consolidated organic growth.</w:t>
      </w:r>
    </w:p>
    <w:bookmarkEnd w:id="17"/>
    <w:bookmarkStart w:id="18" w:name="X4cafd2ad5700619d3108f3ae57fcc065e3fe3b5"/>
    <w:p>
      <w:pPr>
        <w:pStyle w:val="Heading3"/>
      </w:pPr>
      <w:r>
        <w:t xml:space="preserve">4. Enterprise merchant ramp</w:t>
      </w:r>
    </w:p>
    <w:p>
      <w:pPr>
        <w:pStyle w:val="FirstParagraph"/>
      </w:pPr>
      <w:r>
        <w:t xml:space="preserve">GPN entered Q2 with several signed enterprise customers expected to begin contributing during the quarter, including ALDI Süd, Morrisons and Goold Cosméticos. Other disclosed wins included Abercrombie &amp; Fitch, Decathlon, Lidl and a number of restaurant and hospitality clients.</w:t>
      </w:r>
    </w:p>
    <w:p>
      <w:pPr>
        <w:pStyle w:val="BodyText"/>
      </w:pPr>
      <w:r>
        <w:t xml:space="preserve">Enterprise sales have long implementation cycles, so the relevant questions are:</w:t>
      </w:r>
    </w:p>
    <w:p>
      <w:pPr>
        <w:pStyle w:val="Compact"/>
        <w:numPr>
          <w:ilvl w:val="0"/>
          <w:numId w:val="1008"/>
        </w:numPr>
      </w:pPr>
      <w:r>
        <w:t xml:space="preserve">Which announced customers began processing in Q2?</w:t>
      </w:r>
    </w:p>
    <w:p>
      <w:pPr>
        <w:pStyle w:val="Compact"/>
        <w:numPr>
          <w:ilvl w:val="0"/>
          <w:numId w:val="1008"/>
        </w:numPr>
      </w:pPr>
      <w:r>
        <w:t xml:space="preserve">How much signed-but-not-live volume remains?</w:t>
      </w:r>
    </w:p>
    <w:p>
      <w:pPr>
        <w:pStyle w:val="Compact"/>
        <w:numPr>
          <w:ilvl w:val="0"/>
          <w:numId w:val="1008"/>
        </w:numPr>
      </w:pPr>
      <w:r>
        <w:t xml:space="preserve">Is onboarding progressing on schedule?</w:t>
      </w:r>
    </w:p>
    <w:p>
      <w:pPr>
        <w:pStyle w:val="Compact"/>
        <w:numPr>
          <w:ilvl w:val="0"/>
          <w:numId w:val="1008"/>
        </w:numPr>
      </w:pPr>
      <w:r>
        <w:t xml:space="preserve">Are enterprise bookings sustaining Q1's 9% growth?</w:t>
      </w:r>
    </w:p>
    <w:p>
      <w:pPr>
        <w:pStyle w:val="Compact"/>
        <w:numPr>
          <w:ilvl w:val="0"/>
          <w:numId w:val="1008"/>
        </w:numPr>
      </w:pPr>
      <w:r>
        <w:t xml:space="preserve">Is e-commerce transaction growth still in the double digits?</w:t>
      </w:r>
    </w:p>
    <w:p>
      <w:pPr>
        <w:pStyle w:val="Compact"/>
        <w:numPr>
          <w:ilvl w:val="0"/>
          <w:numId w:val="1008"/>
        </w:numPr>
      </w:pPr>
      <w:r>
        <w:t xml:space="preserve">Is GPN gaining wallet share through fraud, authorization and routing products?</w:t>
      </w:r>
    </w:p>
    <w:p>
      <w:pPr>
        <w:pStyle w:val="FirstParagraph"/>
      </w:pPr>
      <w:r>
        <w:t xml:space="preserve">A strong enterprise ramp is one of the main components of management's expected second-half acceleration.</w:t>
      </w:r>
    </w:p>
    <w:bookmarkEnd w:id="18"/>
    <w:bookmarkStart w:id="19" w:name="X6477d055cfe3e35add687a3e2f88926ad5a3200"/>
    <w:p>
      <w:pPr>
        <w:pStyle w:val="Heading3"/>
      </w:pPr>
      <w:r>
        <w:t xml:space="preserve">5. New segment reporting</w:t>
      </w:r>
    </w:p>
    <w:p>
      <w:pPr>
        <w:pStyle w:val="FirstParagraph"/>
      </w:pPr>
      <w:r>
        <w:t xml:space="preserve">Management said it expected to introduce reportable segments aligned with its new go-to-market structure:</w:t>
      </w:r>
    </w:p>
    <w:p>
      <w:pPr>
        <w:pStyle w:val="Compact"/>
        <w:numPr>
          <w:ilvl w:val="0"/>
          <w:numId w:val="1009"/>
        </w:numPr>
      </w:pPr>
      <w:r>
        <w:t xml:space="preserve">Enterprise</w:t>
      </w:r>
    </w:p>
    <w:p>
      <w:pPr>
        <w:pStyle w:val="Compact"/>
        <w:numPr>
          <w:ilvl w:val="0"/>
          <w:numId w:val="1009"/>
        </w:numPr>
      </w:pPr>
      <w:r>
        <w:t xml:space="preserve">Integrated and Platforms</w:t>
      </w:r>
    </w:p>
    <w:p>
      <w:pPr>
        <w:pStyle w:val="Compact"/>
        <w:numPr>
          <w:ilvl w:val="0"/>
          <w:numId w:val="1009"/>
        </w:numPr>
      </w:pPr>
      <w:r>
        <w:t xml:space="preserve">SMB</w:t>
      </w:r>
    </w:p>
    <w:p>
      <w:pPr>
        <w:pStyle w:val="FirstParagraph"/>
      </w:pPr>
      <w:r>
        <w:t xml:space="preserve">This could be one of the report's most important—and overlooked—developments. Better disclosure may allow investors to distinguish the faster-growing software, e-commerce and integrated assets from mature card-present processing.</w:t>
      </w:r>
    </w:p>
    <w:p>
      <w:pPr>
        <w:pStyle w:val="BodyText"/>
      </w:pPr>
      <w:r>
        <w:t xml:space="preserve">Watch for:</w:t>
      </w:r>
    </w:p>
    <w:p>
      <w:pPr>
        <w:pStyle w:val="Compact"/>
        <w:numPr>
          <w:ilvl w:val="0"/>
          <w:numId w:val="1010"/>
        </w:numPr>
      </w:pPr>
      <w:r>
        <w:t xml:space="preserve">Revenue and growth by channel</w:t>
      </w:r>
    </w:p>
    <w:p>
      <w:pPr>
        <w:pStyle w:val="Compact"/>
        <w:numPr>
          <w:ilvl w:val="0"/>
          <w:numId w:val="1010"/>
        </w:numPr>
      </w:pPr>
      <w:r>
        <w:t xml:space="preserve">Relative margins</w:t>
      </w:r>
    </w:p>
    <w:p>
      <w:pPr>
        <w:pStyle w:val="Compact"/>
        <w:numPr>
          <w:ilvl w:val="0"/>
          <w:numId w:val="1010"/>
        </w:numPr>
      </w:pPr>
      <w:r>
        <w:t xml:space="preserve">Geographic or volume metrics</w:t>
      </w:r>
    </w:p>
    <w:p>
      <w:pPr>
        <w:pStyle w:val="Compact"/>
        <w:numPr>
          <w:ilvl w:val="0"/>
          <w:numId w:val="1010"/>
        </w:numPr>
      </w:pPr>
      <w:r>
        <w:t xml:space="preserve">Exposure to consumer-spending categories</w:t>
      </w:r>
    </w:p>
    <w:p>
      <w:pPr>
        <w:pStyle w:val="Compact"/>
        <w:numPr>
          <w:ilvl w:val="0"/>
          <w:numId w:val="1010"/>
        </w:numPr>
      </w:pPr>
      <w:r>
        <w:t xml:space="preserve">Treatment of corporate and integration costs</w:t>
      </w:r>
    </w:p>
    <w:p>
      <w:pPr>
        <w:pStyle w:val="Compact"/>
        <w:numPr>
          <w:ilvl w:val="0"/>
          <w:numId w:val="1010"/>
        </w:numPr>
      </w:pPr>
      <w:r>
        <w:t xml:space="preserve">Comparable historical results</w:t>
      </w:r>
    </w:p>
    <w:p>
      <w:pPr>
        <w:pStyle w:val="FirstParagraph"/>
      </w:pPr>
      <w:r>
        <w:t xml:space="preserve">Clearer disclosure could improve confidence in the growth mix. Conversely, limited or heavily adjusted segment data would leave investors dependent on management's qualitative commentary.</w:t>
      </w:r>
    </w:p>
    <w:bookmarkEnd w:id="19"/>
    <w:bookmarkStart w:id="20" w:name="Xc2fff64f8670bfab11026636731142453a6b624"/>
    <w:p>
      <w:pPr>
        <w:pStyle w:val="Heading3"/>
      </w:pPr>
      <w:r>
        <w:t xml:space="preserve">6. Margins, cash flow and capital allocation</w:t>
      </w:r>
    </w:p>
    <w:p>
      <w:pPr>
        <w:pStyle w:val="FirstParagraph"/>
      </w:pPr>
      <w:r>
        <w:t xml:space="preserve">GPN expects approximately 150 basis points of full-year normalized margin expansion, with more of the benefit arriving in the second half as integration savings accumulate.</w:t>
      </w:r>
    </w:p>
    <w:p>
      <w:pPr>
        <w:pStyle w:val="BodyText"/>
      </w:pPr>
      <w:r>
        <w:t xml:space="preserve">That creates a relatively high bar for the remainder of the year. At the midpoint of annual EPS guidance, subtracting Q1 actual EPS and Q2 consensus leaves approximately</w:t>
      </w:r>
      <w:r>
        <w:t xml:space="preserve"> </w:t>
      </w:r>
      <w:r>
        <w:rPr>
          <w:b/>
          <w:bCs/>
        </w:rPr>
        <w:t xml:space="preserve">$7.48 of adjusted EPS required in the second half</w:t>
      </w:r>
      <w:r>
        <w:t xml:space="preserve">.</w:t>
      </w:r>
    </w:p>
    <w:p>
      <w:pPr>
        <w:pStyle w:val="BodyText"/>
      </w:pPr>
      <w:r>
        <w:t xml:space="preserve">Investors should monitor:</w:t>
      </w:r>
    </w:p>
    <w:p>
      <w:pPr>
        <w:pStyle w:val="Compact"/>
        <w:numPr>
          <w:ilvl w:val="0"/>
          <w:numId w:val="1011"/>
        </w:numPr>
      </w:pPr>
      <w:r>
        <w:t xml:space="preserve">Q2 normalized operating-margin expansion</w:t>
      </w:r>
    </w:p>
    <w:p>
      <w:pPr>
        <w:pStyle w:val="Compact"/>
        <w:numPr>
          <w:ilvl w:val="0"/>
          <w:numId w:val="1011"/>
        </w:numPr>
      </w:pPr>
      <w:r>
        <w:t xml:space="preserve">The cadence needed to reach the full-year 150-basis-point target</w:t>
      </w:r>
    </w:p>
    <w:p>
      <w:pPr>
        <w:pStyle w:val="Compact"/>
        <w:numPr>
          <w:ilvl w:val="0"/>
          <w:numId w:val="1011"/>
        </w:numPr>
      </w:pPr>
      <w:r>
        <w:t xml:space="preserve">Free-cash-flow conversion</w:t>
      </w:r>
    </w:p>
    <w:p>
      <w:pPr>
        <w:pStyle w:val="Compact"/>
        <w:numPr>
          <w:ilvl w:val="0"/>
          <w:numId w:val="1011"/>
        </w:numPr>
      </w:pPr>
      <w:r>
        <w:t xml:space="preserve">Capital expenditures versus the $1 billion annual plan</w:t>
      </w:r>
    </w:p>
    <w:p>
      <w:pPr>
        <w:pStyle w:val="Compact"/>
        <w:numPr>
          <w:ilvl w:val="0"/>
          <w:numId w:val="1011"/>
        </w:numPr>
      </w:pPr>
      <w:r>
        <w:t xml:space="preserve">Net leverage versus 3.5 times at the end of Q1</w:t>
      </w:r>
    </w:p>
    <w:p>
      <w:pPr>
        <w:pStyle w:val="Compact"/>
        <w:numPr>
          <w:ilvl w:val="0"/>
          <w:numId w:val="1011"/>
        </w:numPr>
      </w:pPr>
      <w:r>
        <w:t xml:space="preserve">Total shares repurchased</w:t>
      </w:r>
    </w:p>
    <w:p>
      <w:pPr>
        <w:pStyle w:val="Compact"/>
        <w:numPr>
          <w:ilvl w:val="0"/>
          <w:numId w:val="1011"/>
        </w:numPr>
      </w:pPr>
      <w:r>
        <w:t xml:space="preserve">Progress toward returning more than $2 billion in 2026</w:t>
      </w:r>
    </w:p>
    <w:p>
      <w:pPr>
        <w:pStyle w:val="FirstParagraph"/>
      </w:pPr>
      <w:r>
        <w:t xml:space="preserve">GPN completed a $550 million Q1 accelerated repurchase and announced another $500 million program in May, with additional open-market purchases planned. Buybacks at depressed valuations are accretive, but investors should ensure they are not coming at the expense of the company's commitment to reduce net leverage to approximately 3 times by the end of 2027.</w:t>
      </w:r>
    </w:p>
    <w:bookmarkEnd w:id="20"/>
    <w:bookmarkEnd w:id="21"/>
    <w:bookmarkStart w:id="25" w:name="potential-reactions"/>
    <w:p>
      <w:pPr>
        <w:pStyle w:val="Heading2"/>
      </w:pPr>
      <w:r>
        <w:t xml:space="preserve">Potential reactions</w:t>
      </w:r>
    </w:p>
    <w:bookmarkStart w:id="22" w:name="bullish-outcome"/>
    <w:p>
      <w:pPr>
        <w:pStyle w:val="Heading3"/>
      </w:pPr>
      <w:r>
        <w:t xml:space="preserve">Bullish outcome</w:t>
      </w:r>
    </w:p>
    <w:p>
      <w:pPr>
        <w:pStyle w:val="FirstParagraph"/>
      </w:pPr>
      <w:r>
        <w:t xml:space="preserve">A constructive report would likely include:</w:t>
      </w:r>
    </w:p>
    <w:p>
      <w:pPr>
        <w:pStyle w:val="Compact"/>
        <w:numPr>
          <w:ilvl w:val="0"/>
          <w:numId w:val="1012"/>
        </w:numPr>
      </w:pPr>
      <w:r>
        <w:t xml:space="preserve">Adjusted EPS above approximately $3.46</w:t>
      </w:r>
    </w:p>
    <w:p>
      <w:pPr>
        <w:pStyle w:val="Compact"/>
        <w:numPr>
          <w:ilvl w:val="0"/>
          <w:numId w:val="1012"/>
        </w:numPr>
      </w:pPr>
      <w:r>
        <w:t xml:space="preserve">Normalized revenue growth around 4% or better despite the expected headwinds</w:t>
      </w:r>
    </w:p>
    <w:p>
      <w:pPr>
        <w:pStyle w:val="Compact"/>
        <w:numPr>
          <w:ilvl w:val="0"/>
          <w:numId w:val="1012"/>
        </w:numPr>
      </w:pPr>
      <w:r>
        <w:t xml:space="preserve">Travel and tax-payment effects contained within the prior estimate</w:t>
      </w:r>
    </w:p>
    <w:p>
      <w:pPr>
        <w:pStyle w:val="Compact"/>
        <w:numPr>
          <w:ilvl w:val="0"/>
          <w:numId w:val="1012"/>
        </w:numPr>
      </w:pPr>
      <w:r>
        <w:t xml:space="preserve">Full-year revenue, margin and EPS guidance reaffirmed with confidence</w:t>
      </w:r>
    </w:p>
    <w:p>
      <w:pPr>
        <w:pStyle w:val="Compact"/>
        <w:numPr>
          <w:ilvl w:val="0"/>
          <w:numId w:val="1012"/>
        </w:numPr>
      </w:pPr>
      <w:r>
        <w:t xml:space="preserve">Continued strong Genius bookings, installations and yields</w:t>
      </w:r>
    </w:p>
    <w:p>
      <w:pPr>
        <w:pStyle w:val="Compact"/>
        <w:numPr>
          <w:ilvl w:val="0"/>
          <w:numId w:val="1012"/>
        </w:numPr>
      </w:pPr>
      <w:r>
        <w:t xml:space="preserve">Quantified Worldpay savings at or ahead of plan</w:t>
      </w:r>
    </w:p>
    <w:p>
      <w:pPr>
        <w:pStyle w:val="Compact"/>
        <w:numPr>
          <w:ilvl w:val="0"/>
          <w:numId w:val="1012"/>
        </w:numPr>
      </w:pPr>
      <w:r>
        <w:t xml:space="preserve">Confirmation of greater-than-5% second-half revenue growth</w:t>
      </w:r>
    </w:p>
    <w:p>
      <w:pPr>
        <w:pStyle w:val="Compact"/>
        <w:numPr>
          <w:ilvl w:val="0"/>
          <w:numId w:val="1012"/>
        </w:numPr>
      </w:pPr>
      <w:r>
        <w:t xml:space="preserve">Healthy free cash flow and continued repurchases</w:t>
      </w:r>
    </w:p>
    <w:p>
      <w:pPr>
        <w:pStyle w:val="Compact"/>
        <w:numPr>
          <w:ilvl w:val="0"/>
          <w:numId w:val="1012"/>
        </w:numPr>
      </w:pPr>
      <w:r>
        <w:t xml:space="preserve">More transparent segment disclosure</w:t>
      </w:r>
    </w:p>
    <w:p>
      <w:pPr>
        <w:pStyle w:val="FirstParagraph"/>
      </w:pPr>
      <w:r>
        <w:t xml:space="preserve">A guidance increase would be particularly meaningful, although it may be too early given macro and integration uncertainty.</w:t>
      </w:r>
    </w:p>
    <w:bookmarkEnd w:id="22"/>
    <w:bookmarkStart w:id="23" w:name="neutral-outcome"/>
    <w:p>
      <w:pPr>
        <w:pStyle w:val="Heading3"/>
      </w:pPr>
      <w:r>
        <w:t xml:space="preserve">Neutral outcome</w:t>
      </w:r>
    </w:p>
    <w:p>
      <w:pPr>
        <w:pStyle w:val="FirstParagraph"/>
      </w:pPr>
      <w:r>
        <w:t xml:space="preserve">A roughly in-line quarter with unchanged guidance could still be acceptable if:</w:t>
      </w:r>
    </w:p>
    <w:p>
      <w:pPr>
        <w:pStyle w:val="Compact"/>
        <w:numPr>
          <w:ilvl w:val="0"/>
          <w:numId w:val="1013"/>
        </w:numPr>
      </w:pPr>
      <w:r>
        <w:t xml:space="preserve">Q2 weakness is concentrated in known temporary factors</w:t>
      </w:r>
    </w:p>
    <w:p>
      <w:pPr>
        <w:pStyle w:val="Compact"/>
        <w:numPr>
          <w:ilvl w:val="0"/>
          <w:numId w:val="1013"/>
        </w:numPr>
      </w:pPr>
      <w:r>
        <w:t xml:space="preserve">Management provides credible evidence of second-half acceleration</w:t>
      </w:r>
    </w:p>
    <w:p>
      <w:pPr>
        <w:pStyle w:val="Compact"/>
        <w:numPr>
          <w:ilvl w:val="0"/>
          <w:numId w:val="1013"/>
        </w:numPr>
      </w:pPr>
      <w:r>
        <w:t xml:space="preserve">Integration milestones remain on schedule</w:t>
      </w:r>
    </w:p>
    <w:p>
      <w:pPr>
        <w:pStyle w:val="Compact"/>
        <w:numPr>
          <w:ilvl w:val="0"/>
          <w:numId w:val="1013"/>
        </w:numPr>
      </w:pPr>
      <w:r>
        <w:t xml:space="preserve">Genius and enterprise onboarding continue progressing</w:t>
      </w:r>
    </w:p>
    <w:p>
      <w:pPr>
        <w:pStyle w:val="FirstParagraph"/>
      </w:pPr>
      <w:r>
        <w:t xml:space="preserve">Given the stock's recent rally, an in-line report without incremental positives may produce a muted reaction.</w:t>
      </w:r>
    </w:p>
    <w:bookmarkEnd w:id="23"/>
    <w:bookmarkStart w:id="24" w:name="bearish-outcome"/>
    <w:p>
      <w:pPr>
        <w:pStyle w:val="Heading3"/>
      </w:pPr>
      <w:r>
        <w:t xml:space="preserve">Bearish outcome</w:t>
      </w:r>
    </w:p>
    <w:p>
      <w:pPr>
        <w:pStyle w:val="FirstParagraph"/>
      </w:pPr>
      <w:r>
        <w:t xml:space="preserve">The most concerning combination would be:</w:t>
      </w:r>
    </w:p>
    <w:p>
      <w:pPr>
        <w:pStyle w:val="Compact"/>
        <w:numPr>
          <w:ilvl w:val="0"/>
          <w:numId w:val="1014"/>
        </w:numPr>
      </w:pPr>
      <w:r>
        <w:t xml:space="preserve">Normalized revenue growth materially below plan</w:t>
      </w:r>
    </w:p>
    <w:p>
      <w:pPr>
        <w:pStyle w:val="Compact"/>
        <w:numPr>
          <w:ilvl w:val="0"/>
          <w:numId w:val="1014"/>
        </w:numPr>
      </w:pPr>
      <w:r>
        <w:t xml:space="preserve">Headwinds extending beyond travel and tax payments</w:t>
      </w:r>
    </w:p>
    <w:p>
      <w:pPr>
        <w:pStyle w:val="Compact"/>
        <w:numPr>
          <w:ilvl w:val="0"/>
          <w:numId w:val="1014"/>
        </w:numPr>
      </w:pPr>
      <w:r>
        <w:t xml:space="preserve">Reduced confidence in second-half acceleration</w:t>
      </w:r>
    </w:p>
    <w:p>
      <w:pPr>
        <w:pStyle w:val="Compact"/>
        <w:numPr>
          <w:ilvl w:val="0"/>
          <w:numId w:val="1014"/>
        </w:numPr>
      </w:pPr>
      <w:r>
        <w:t xml:space="preserve">Delays in enterprise merchant launches</w:t>
      </w:r>
    </w:p>
    <w:p>
      <w:pPr>
        <w:pStyle w:val="Compact"/>
        <w:numPr>
          <w:ilvl w:val="0"/>
          <w:numId w:val="1014"/>
        </w:numPr>
      </w:pPr>
      <w:r>
        <w:t xml:space="preserve">Slowing Genius installations or weaker payment attachment</w:t>
      </w:r>
    </w:p>
    <w:p>
      <w:pPr>
        <w:pStyle w:val="Compact"/>
        <w:numPr>
          <w:ilvl w:val="0"/>
          <w:numId w:val="1014"/>
        </w:numPr>
      </w:pPr>
      <w:r>
        <w:t xml:space="preserve">Worldpay customer attrition or integration disruption</w:t>
      </w:r>
    </w:p>
    <w:p>
      <w:pPr>
        <w:pStyle w:val="Compact"/>
        <w:numPr>
          <w:ilvl w:val="0"/>
          <w:numId w:val="1014"/>
        </w:numPr>
      </w:pPr>
      <w:r>
        <w:t xml:space="preserve">Margin guidance dependent on unusually aggressive fourth-quarter savings</w:t>
      </w:r>
    </w:p>
    <w:p>
      <w:pPr>
        <w:pStyle w:val="Compact"/>
        <w:numPr>
          <w:ilvl w:val="0"/>
          <w:numId w:val="1014"/>
        </w:numPr>
      </w:pPr>
      <w:r>
        <w:t xml:space="preserve">Weak cash conversion or leverage moving higher</w:t>
      </w:r>
    </w:p>
    <w:p>
      <w:pPr>
        <w:pStyle w:val="Compact"/>
        <w:numPr>
          <w:ilvl w:val="0"/>
          <w:numId w:val="1014"/>
        </w:numPr>
      </w:pPr>
      <w:r>
        <w:t xml:space="preserve">A reduction to the</w:t>
      </w:r>
      <w:r>
        <w:t xml:space="preserve"> </w:t>
      </w:r>
      <m:oMath>
        <m:r>
          <m:t>13.80</m:t>
        </m:r>
        <m:r>
          <m:rPr>
            <m:sty m:val="p"/>
          </m:rPr>
          <m:t>–</m:t>
        </m:r>
      </m:oMath>
      <w:r>
        <w:t xml:space="preserve">14.00 EPS range</w:t>
      </w:r>
    </w:p>
    <w:bookmarkEnd w:id="24"/>
    <w:bookmarkEnd w:id="25"/>
    <w:bookmarkStart w:id="26" w:name="bottom-line"/>
    <w:p>
      <w:pPr>
        <w:pStyle w:val="Heading2"/>
      </w:pPr>
      <w:r>
        <w:t xml:space="preserve">Bottom line</w:t>
      </w:r>
    </w:p>
    <w:p>
      <w:pPr>
        <w:pStyle w:val="FirstParagraph"/>
      </w:pPr>
      <w:r>
        <w:t xml:space="preserve">GPN enters the report with a low valuation and an increasingly credible strategic narrative, but also with substantial execution requirements.</w:t>
      </w:r>
    </w:p>
    <w:p>
      <w:pPr>
        <w:pStyle w:val="BodyText"/>
      </w:pPr>
      <w:r>
        <w:t xml:space="preserve">A modest EPS beat alone would not settle the debate. The most important evidence tomorrow will be:</w:t>
      </w:r>
    </w:p>
    <w:p>
      <w:pPr>
        <w:pStyle w:val="Compact"/>
        <w:numPr>
          <w:ilvl w:val="0"/>
          <w:numId w:val="1015"/>
        </w:numPr>
      </w:pPr>
      <w:r>
        <w:rPr>
          <w:b/>
          <w:bCs/>
        </w:rPr>
        <w:t xml:space="preserve">Normalized organic revenue growth holding near the annual target</w:t>
      </w:r>
    </w:p>
    <w:p>
      <w:pPr>
        <w:pStyle w:val="Compact"/>
        <w:numPr>
          <w:ilvl w:val="0"/>
          <w:numId w:val="1015"/>
        </w:numPr>
      </w:pPr>
      <w:r>
        <w:rPr>
          <w:b/>
          <w:bCs/>
        </w:rPr>
        <w:t xml:space="preserve">Continued confidence in second-half acceleration</w:t>
      </w:r>
    </w:p>
    <w:p>
      <w:pPr>
        <w:pStyle w:val="Compact"/>
        <w:numPr>
          <w:ilvl w:val="0"/>
          <w:numId w:val="1015"/>
        </w:numPr>
      </w:pPr>
      <w:r>
        <w:rPr>
          <w:b/>
          <w:bCs/>
        </w:rPr>
        <w:t xml:space="preserve">Measurable Worldpay integration progress</w:t>
      </w:r>
    </w:p>
    <w:p>
      <w:pPr>
        <w:pStyle w:val="Compact"/>
        <w:numPr>
          <w:ilvl w:val="0"/>
          <w:numId w:val="1015"/>
        </w:numPr>
      </w:pPr>
      <w:r>
        <w:rPr>
          <w:b/>
          <w:bCs/>
        </w:rPr>
        <w:t xml:space="preserve">Conversion of Genius bookings into live merchants and revenue</w:t>
      </w:r>
    </w:p>
    <w:p>
      <w:pPr>
        <w:pStyle w:val="Compact"/>
        <w:numPr>
          <w:ilvl w:val="0"/>
          <w:numId w:val="1015"/>
        </w:numPr>
      </w:pPr>
      <w:r>
        <w:rPr>
          <w:b/>
          <w:bCs/>
        </w:rPr>
        <w:t xml:space="preserve">Margin and cash-flow delivery without sacrificing growth</w:t>
      </w:r>
    </w:p>
    <w:p>
      <w:pPr>
        <w:pStyle w:val="Compact"/>
        <w:numPr>
          <w:ilvl w:val="0"/>
          <w:numId w:val="1015"/>
        </w:numPr>
      </w:pPr>
      <w:r>
        <w:rPr>
          <w:b/>
          <w:bCs/>
        </w:rPr>
        <w:t xml:space="preserve">A credible balance between buybacks and deleveraging</w:t>
      </w:r>
    </w:p>
    <w:p>
      <w:pPr>
        <w:pStyle w:val="FirstParagraph"/>
      </w:pPr>
      <w:r>
        <w:t xml:space="preserve">If management delivers on those points, the current multiple leaves room for further revaluation. If the report shows that earnings growth is being driven primarily by cost reductions and repurchases while underlying revenue momentum remains soft, the stock's discount is likely to persist.</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globalpayments.com/?utm_source=openai" TargetMode="External" /><Relationship Type="http://schemas.openxmlformats.org/officeDocument/2006/relationships/hyperlink" Id="rId13" Target="https://investors.globalpayments.com/financial-information/all-sec-filings/content/0001123360-26-000070/0001123360-26-000070.pdf?utm_source=openai" TargetMode="External" /><Relationship Type="http://schemas.openxmlformats.org/officeDocument/2006/relationships/hyperlink" Id="rId11" Target="https://www.benzinga.com/quote/GPN/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globalpayments.com/?utm_source=openai" TargetMode="External" /><Relationship Type="http://schemas.openxmlformats.org/officeDocument/2006/relationships/hyperlink" Id="rId13" Target="https://investors.globalpayments.com/financial-information/all-sec-filings/content/0001123360-26-000070/0001123360-26-000070.pdf?utm_source=openai" TargetMode="External" /><Relationship Type="http://schemas.openxmlformats.org/officeDocument/2006/relationships/hyperlink" Id="rId11" Target="https://www.benzinga.com/quote/GPN/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2026-08-05T00:06:00Z</dcterms:created>
  <dcterms:modified xsi:type="dcterms:W3CDTF">2026-08-05T00:06:00Z</dcterms:modified>
</cp:coreProperties>
</file>

<file path=docProps/custom.xml><?xml version="1.0" encoding="utf-8"?>
<Properties xmlns="http://schemas.openxmlformats.org/officeDocument/2006/custom-properties" xmlns:vt="http://schemas.openxmlformats.org/officeDocument/2006/docPropsVTypes"/>
</file>