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4d3e7aa14b2b15af58c6fdc56e7819be2ab726"/>
    <w:p>
      <w:pPr>
        <w:pStyle w:val="Heading1"/>
      </w:pPr>
      <w:r>
        <w:t xml:space="preserve">Global Payments (NYSE: GPN) — 2Q26 Earnings Preview</w:t>
      </w:r>
    </w:p>
    <w:p>
      <w:pPr>
        <w:pStyle w:val="FirstParagraph"/>
      </w:pPr>
      <w:r>
        <w:rPr>
          <w:b/>
          <w:bCs/>
        </w:rPr>
        <w:t xml:space="preserve">Earnings date:</w:t>
      </w:r>
      <w:r>
        <w:t xml:space="preserve"> </w:t>
      </w:r>
      <w:r>
        <w:t xml:space="preserve">Wednesday, August 5, 2026</w:t>
      </w:r>
      <w:r>
        <w:br/>
      </w:r>
      <w:r>
        <w:rPr>
          <w:b/>
          <w:bCs/>
        </w:rPr>
        <w:t xml:space="preserve">Event:</w:t>
      </w:r>
      <w:r>
        <w:t xml:space="preserve"> </w:t>
      </w:r>
      <w:r>
        <w:t xml:space="preserve">2026Q2 Earnings Call</w:t>
      </w:r>
    </w:p>
    <w:bookmarkStart w:id="9" w:name="X3e051a27ea482490bccda3c592b8fc86ff309f9"/>
    <w:p>
      <w:pPr>
        <w:pStyle w:val="Heading2"/>
      </w:pPr>
      <w:r>
        <w:t xml:space="preserve">Investment view: this is the first meaningful “combined-company” checkpoint</w:t>
      </w:r>
    </w:p>
    <w:p>
      <w:pPr>
        <w:pStyle w:val="FirstParagraph"/>
      </w:pPr>
      <w:r>
        <w:t xml:space="preserve">GPN’s second-quarter report should be judged less on a single-quarter headline and more on whether management can reinforce the bridge to its full-year algorithm after the Worldpay acquisition and Issuer Solutions divestiture.</w:t>
      </w:r>
    </w:p>
    <w:p>
      <w:pPr>
        <w:pStyle w:val="BodyText"/>
      </w:pPr>
      <w:r>
        <w:t xml:space="preserve">The company entered 2026 as a newly focused merchant-solutions pure play. First-quarter results were ahead of management’s expectations: normalized constant-currency adjusted net-revenue growth was approximately</w:t>
      </w:r>
      <w:r>
        <w:t xml:space="preserve"> </w:t>
      </w:r>
      <w:r>
        <w:rPr>
          <w:b/>
          <w:bCs/>
        </w:rPr>
        <w:t xml:space="preserve">4.5%</w:t>
      </w:r>
      <w:r>
        <w:t xml:space="preserve">, adjusted operating margin expanded</w:t>
      </w:r>
      <w:r>
        <w:t xml:space="preserve"> </w:t>
      </w:r>
      <w:r>
        <w:rPr>
          <w:b/>
          <w:bCs/>
        </w:rPr>
        <w:t xml:space="preserve">110 bps</w:t>
      </w:r>
      <w:r>
        <w:t xml:space="preserve"> </w:t>
      </w:r>
      <w:r>
        <w:t xml:space="preserve">on that basis to</w:t>
      </w:r>
      <w:r>
        <w:t xml:space="preserve"> </w:t>
      </w:r>
      <w:r>
        <w:rPr>
          <w:b/>
          <w:bCs/>
        </w:rPr>
        <w:t xml:space="preserve">39.9%</w:t>
      </w:r>
      <w:r>
        <w:t xml:space="preserve">, and adjusted EPS grew</w:t>
      </w:r>
      <w:r>
        <w:t xml:space="preserve"> </w:t>
      </w:r>
      <w:r>
        <w:rPr>
          <w:b/>
          <w:bCs/>
        </w:rPr>
        <w:t xml:space="preserve">10%</w:t>
      </w:r>
      <w:r>
        <w:t xml:space="preserve"> </w:t>
      </w:r>
      <w:r>
        <w:t xml:space="preserve">to</w:t>
      </w:r>
      <w:r>
        <w:t xml:space="preserve"> </w:t>
      </w:r>
      <m:oMath>
        <m:r>
          <m:t>2.96</m:t>
        </m:r>
        <m:r>
          <m:rPr>
            <m:sty m:val="p"/>
          </m:rPr>
          <m:t>*</m:t>
        </m:r>
        <m:r>
          <m:rPr>
            <m:sty m:val="p"/>
          </m:rPr>
          <m:t>*</m:t>
        </m:r>
        <m:r>
          <m:rPr>
            <m:sty m:val="p"/>
          </m:rPr>
          <m:t>.</m:t>
        </m:r>
        <m:r>
          <m:t>M</m:t>
        </m:r>
        <m:r>
          <m:t>a</m:t>
        </m:r>
        <m:r>
          <m:t>n</m:t>
        </m:r>
        <m:r>
          <m:t>a</m:t>
        </m:r>
        <m:r>
          <m:t>g</m:t>
        </m:r>
        <m:r>
          <m:t>e</m:t>
        </m:r>
        <m:r>
          <m:t>m</m:t>
        </m:r>
        <m:r>
          <m:t>e</m:t>
        </m:r>
        <m:r>
          <m:t>n</m:t>
        </m:r>
        <m:r>
          <m:t>t</m:t>
        </m:r>
        <m:r>
          <m:t>r</m:t>
        </m:r>
        <m:r>
          <m:t>e</m:t>
        </m:r>
        <m:r>
          <m:t>a</m:t>
        </m:r>
        <m:r>
          <m:t>f</m:t>
        </m:r>
        <m:r>
          <m:t>f</m:t>
        </m:r>
        <m:r>
          <m:t>i</m:t>
        </m:r>
        <m:r>
          <m:t>r</m:t>
        </m:r>
        <m:r>
          <m:t>m</m:t>
        </m:r>
        <m:r>
          <m:t>e</m:t>
        </m:r>
        <m:r>
          <m:t>d</m:t>
        </m:r>
        <m:r>
          <m:t>i</m:t>
        </m:r>
        <m:r>
          <m:t>t</m:t>
        </m:r>
        <m:r>
          <m:t>s</m:t>
        </m:r>
        <m:r>
          <m:t>2026</m:t>
        </m:r>
        <m:r>
          <m:t>f</m:t>
        </m:r>
        <m:r>
          <m:t>r</m:t>
        </m:r>
        <m:r>
          <m:t>a</m:t>
        </m:r>
        <m:r>
          <m:t>m</m:t>
        </m:r>
        <m:r>
          <m:t>e</m:t>
        </m:r>
        <m:r>
          <m:t>w</m:t>
        </m:r>
        <m:r>
          <m:t>o</m:t>
        </m:r>
        <m:r>
          <m:t>r</m:t>
        </m:r>
        <m:r>
          <m:t>k</m:t>
        </m:r>
        <m:r>
          <m:t>o</m:t>
        </m:r>
        <m:r>
          <m:t>f</m:t>
        </m:r>
        <m:r>
          <m:t>r</m:t>
        </m:r>
        <m:r>
          <m:t>o</m:t>
        </m:r>
        <m:r>
          <m:t>u</m:t>
        </m:r>
        <m:r>
          <m:t>g</m:t>
        </m:r>
        <m:r>
          <m:t>h</m:t>
        </m:r>
        <m:r>
          <m:t>l</m:t>
        </m:r>
        <m:r>
          <m:t>y</m:t>
        </m:r>
        <m:r>
          <m:rPr>
            <m:sty m:val="p"/>
          </m:rPr>
          <m:t>*</m:t>
        </m:r>
        <m:r>
          <m:rPr>
            <m:sty m:val="p"/>
          </m:rPr>
          <m:t>*</m:t>
        </m:r>
        <m:r>
          <m:t>5</m:t>
        </m:r>
      </m:oMath>
      <w:r>
        <w:rPr>
          <w:b/>
          <w:bCs/>
        </w:rPr>
        <w:t xml:space="preserve">13.80–$14.00</w:t>
      </w:r>
      <w:r>
        <w:t xml:space="preserve"> </w:t>
      </w:r>
      <w:r>
        <w:t xml:space="preserve">of adjusted EPS.</w:t>
      </w:r>
    </w:p>
    <w:p>
      <w:pPr>
        <w:pStyle w:val="BodyText"/>
      </w:pPr>
      <w:r>
        <w:t xml:space="preserve">The complication is that management already pre-flagged up to a</w:t>
      </w:r>
      <w:r>
        <w:t xml:space="preserve"> </w:t>
      </w:r>
      <w:r>
        <w:rPr>
          <w:b/>
          <w:bCs/>
        </w:rPr>
        <w:t xml:space="preserve">100 bps</w:t>
      </w:r>
      <w:r>
        <w:t xml:space="preserve"> </w:t>
      </w:r>
      <w:r>
        <w:t xml:space="preserve">second-quarter revenue-growth headwind from Middle East travel disruption and weaker IRS tax-payment volumes. At a June investor conference, management said that outlook was unchanged and indicated the full headwind was likely to materialize. Therefore, the crucial issue on August 5 is not whether Q2 growth is pristine—it is whether GPN can demonstrate that the pressure is contained, transitory, and offset by accelerating commercial execution into the second half.</w:t>
      </w:r>
    </w:p>
    <w:bookmarkEnd w:id="9"/>
    <w:bookmarkStart w:id="15" w:name="what-matters-most"/>
    <w:p>
      <w:pPr>
        <w:pStyle w:val="Heading2"/>
      </w:pPr>
      <w:r>
        <w:t xml:space="preserve">What matters most</w:t>
      </w:r>
    </w:p>
    <w:bookmarkStart w:id="10" w:name="X7392d803ad68616b756d2fab1dc84aed26cd463"/>
    <w:p>
      <w:pPr>
        <w:pStyle w:val="Heading3"/>
      </w:pPr>
      <w:r>
        <w:t xml:space="preserve">1. Reaffirmation of the 2026 guide—and the credibility of the second-half setup</w:t>
      </w:r>
    </w:p>
    <w:p>
      <w:pPr>
        <w:pStyle w:val="FirstParagraph"/>
      </w:pPr>
      <w:r>
        <w:t xml:space="preserve">A clean reaffirmation of the full-year outlook would be constructive, but investors will need more than the headline. Management’s path to the back-half acceleration relies on:</w:t>
      </w:r>
    </w:p>
    <w:p>
      <w:pPr>
        <w:pStyle w:val="Compact"/>
        <w:numPr>
          <w:ilvl w:val="0"/>
          <w:numId w:val="1001"/>
        </w:numPr>
      </w:pPr>
      <w:r>
        <w:t xml:space="preserve">normalization in travel volumes after the Q2 disruption;</w:t>
      </w:r>
    </w:p>
    <w:p>
      <w:pPr>
        <w:pStyle w:val="Compact"/>
        <w:numPr>
          <w:ilvl w:val="0"/>
          <w:numId w:val="1001"/>
        </w:numPr>
      </w:pPr>
      <w:r>
        <w:t xml:space="preserve">maturation of recently hired sales personnel;</w:t>
      </w:r>
    </w:p>
    <w:p>
      <w:pPr>
        <w:pStyle w:val="Compact"/>
        <w:numPr>
          <w:ilvl w:val="0"/>
          <w:numId w:val="1001"/>
        </w:numPr>
      </w:pPr>
      <w:r>
        <w:t xml:space="preserve">higher contribution from Genius point-of-sale adoption;</w:t>
      </w:r>
    </w:p>
    <w:p>
      <w:pPr>
        <w:pStyle w:val="Compact"/>
        <w:numPr>
          <w:ilvl w:val="0"/>
          <w:numId w:val="1001"/>
        </w:numPr>
      </w:pPr>
      <w:r>
        <w:t xml:space="preserve">conversion of signed-but-not-live enterprise clients; and</w:t>
      </w:r>
    </w:p>
    <w:p>
      <w:pPr>
        <w:pStyle w:val="Compact"/>
        <w:numPr>
          <w:ilvl w:val="0"/>
          <w:numId w:val="1001"/>
        </w:numPr>
      </w:pPr>
      <w:r>
        <w:t xml:space="preserve">increasing cost-synergy realization from Worldpay integration.</w:t>
      </w:r>
    </w:p>
    <w:p>
      <w:pPr>
        <w:pStyle w:val="FirstParagraph"/>
      </w:pPr>
      <w:r>
        <w:t xml:space="preserve">The key question is whether travel and tax-payment headwinds remain isolated to Q2. Any indication that disruption continues into 3Q—or that broader consumer-spending trends are weakening—would challenge the roughly 5% full-year organic-growth framework.</w:t>
      </w:r>
    </w:p>
    <w:bookmarkEnd w:id="10"/>
    <w:bookmarkStart w:id="11" w:name="X67911c4371e7709e8cbd3f3c1f53fc977635683"/>
    <w:p>
      <w:pPr>
        <w:pStyle w:val="Heading3"/>
      </w:pPr>
      <w:r>
        <w:t xml:space="preserve">2. Underlying payments volume and commercial momentum</w:t>
      </w:r>
    </w:p>
    <w:p>
      <w:pPr>
        <w:pStyle w:val="FirstParagraph"/>
      </w:pPr>
      <w:r>
        <w:t xml:space="preserve">GPN described consumer spending as resilient through April, with enterprise e-commerce transaction growth in the double digits during Q1. The company also reported</w:t>
      </w:r>
      <w:r>
        <w:t xml:space="preserve"> </w:t>
      </w:r>
      <w:r>
        <w:rPr>
          <w:b/>
          <w:bCs/>
        </w:rPr>
        <w:t xml:space="preserve">8% combined-company bookings growth</w:t>
      </w:r>
      <w:r>
        <w:t xml:space="preserve">, including</w:t>
      </w:r>
      <w:r>
        <w:t xml:space="preserve"> </w:t>
      </w:r>
      <w:r>
        <w:rPr>
          <w:b/>
          <w:bCs/>
        </w:rPr>
        <w:t xml:space="preserve">9% growth in enterprise bookings</w:t>
      </w:r>
      <w:r>
        <w:t xml:space="preserve">, and cited a set of enterprise customers expected to begin onboarding volume in 2026, including</w:t>
      </w:r>
      <w:r>
        <w:t xml:space="preserve"> </w:t>
      </w:r>
      <w:r>
        <w:rPr>
          <w:b/>
          <w:bCs/>
        </w:rPr>
        <w:t xml:space="preserve">ALDI SUD, Morrisons, and Goold Cosméticos</w:t>
      </w:r>
      <w:r>
        <w:t xml:space="preserve">.</w:t>
      </w:r>
    </w:p>
    <w:p>
      <w:pPr>
        <w:pStyle w:val="BodyText"/>
      </w:pPr>
      <w:r>
        <w:t xml:space="preserve">For Q2, investors should look for:</w:t>
      </w:r>
    </w:p>
    <w:p>
      <w:pPr>
        <w:pStyle w:val="Compact"/>
        <w:numPr>
          <w:ilvl w:val="0"/>
          <w:numId w:val="1002"/>
        </w:numPr>
      </w:pPr>
      <w:r>
        <w:t xml:space="preserve">payment-volume trends by geography and vertical;</w:t>
      </w:r>
    </w:p>
    <w:p>
      <w:pPr>
        <w:pStyle w:val="Compact"/>
        <w:numPr>
          <w:ilvl w:val="0"/>
          <w:numId w:val="1002"/>
        </w:numPr>
      </w:pPr>
      <w:r>
        <w:t xml:space="preserve">the size and timing of enterprise migrations going live;</w:t>
      </w:r>
    </w:p>
    <w:p>
      <w:pPr>
        <w:pStyle w:val="Compact"/>
        <w:numPr>
          <w:ilvl w:val="0"/>
          <w:numId w:val="1002"/>
        </w:numPr>
      </w:pPr>
      <w:r>
        <w:t xml:space="preserve">whether e-commerce and value-added-services cross-sell remain healthy;</w:t>
      </w:r>
    </w:p>
    <w:p>
      <w:pPr>
        <w:pStyle w:val="Compact"/>
        <w:numPr>
          <w:ilvl w:val="0"/>
          <w:numId w:val="1002"/>
        </w:numPr>
      </w:pPr>
      <w:r>
        <w:t xml:space="preserve">the pace of new integrated-payments partner additions; and</w:t>
      </w:r>
    </w:p>
    <w:p>
      <w:pPr>
        <w:pStyle w:val="Compact"/>
        <w:numPr>
          <w:ilvl w:val="0"/>
          <w:numId w:val="1002"/>
        </w:numPr>
      </w:pPr>
      <w:r>
        <w:t xml:space="preserve">any evidence that the broader merchant base is trading down or seeing weaker discretionary spend.</w:t>
      </w:r>
    </w:p>
    <w:p>
      <w:pPr>
        <w:pStyle w:val="FirstParagraph"/>
      </w:pPr>
      <w:r>
        <w:t xml:space="preserve">Large enterprise wins have long sales and implementation cycles. Thus, confirmation that signed customers are now processing volume could be a more important positive signal than bookings alone.</w:t>
      </w:r>
    </w:p>
    <w:bookmarkEnd w:id="11"/>
    <w:bookmarkStart w:id="12" w:name="X84f38cd7714fe3e7254766867cb722afe5b0222"/>
    <w:p>
      <w:pPr>
        <w:pStyle w:val="Heading3"/>
      </w:pPr>
      <w:r>
        <w:t xml:space="preserve">3. Genius: proof that product investment is translating into monetizable growth</w:t>
      </w:r>
    </w:p>
    <w:p>
      <w:pPr>
        <w:pStyle w:val="FirstParagraph"/>
      </w:pPr>
      <w:r>
        <w:t xml:space="preserve">Genius is the central product-growth lever in the SMB and restaurant/retail strategy. In Q1, GPN reported that Genius bookings rose more than</w:t>
      </w:r>
      <w:r>
        <w:t xml:space="preserve"> </w:t>
      </w:r>
      <w:r>
        <w:rPr>
          <w:b/>
          <w:bCs/>
        </w:rPr>
        <w:t xml:space="preserve">25% sequentially</w:t>
      </w:r>
      <w:r>
        <w:t xml:space="preserve"> </w:t>
      </w:r>
      <w:r>
        <w:t xml:space="preserve">and nearly doubled year over year; yields on new clients increased more than</w:t>
      </w:r>
      <w:r>
        <w:t xml:space="preserve"> </w:t>
      </w:r>
      <w:r>
        <w:rPr>
          <w:b/>
          <w:bCs/>
        </w:rPr>
        <w:t xml:space="preserve">30%</w:t>
      </w:r>
      <w:r>
        <w:t xml:space="preserve"> </w:t>
      </w:r>
      <w:r>
        <w:t xml:space="preserve">year over year; and new Genius locations were approximately</w:t>
      </w:r>
      <w:r>
        <w:t xml:space="preserve"> </w:t>
      </w:r>
      <w:r>
        <w:rPr>
          <w:b/>
          <w:bCs/>
        </w:rPr>
        <w:t xml:space="preserve">25%</w:t>
      </w:r>
      <w:r>
        <w:t xml:space="preserve"> </w:t>
      </w:r>
      <w:r>
        <w:t xml:space="preserve">above the prior-year quarter.</w:t>
      </w:r>
    </w:p>
    <w:p>
      <w:pPr>
        <w:pStyle w:val="BodyText"/>
      </w:pPr>
      <w:r>
        <w:t xml:space="preserve">The earnings call should clarify whether that momentum has continued after the National Restaurant Association product launches, including AI-enabled functionality. The most useful metrics or commentary would be:</w:t>
      </w:r>
    </w:p>
    <w:p>
      <w:pPr>
        <w:pStyle w:val="Compact"/>
        <w:numPr>
          <w:ilvl w:val="0"/>
          <w:numId w:val="1003"/>
        </w:numPr>
      </w:pPr>
      <w:r>
        <w:t xml:space="preserve">Genius bookings and location growth;</w:t>
      </w:r>
    </w:p>
    <w:p>
      <w:pPr>
        <w:pStyle w:val="Compact"/>
        <w:numPr>
          <w:ilvl w:val="0"/>
          <w:numId w:val="1003"/>
        </w:numPr>
      </w:pPr>
      <w:r>
        <w:t xml:space="preserve">payment-attachment rates and pricing/yield trends;</w:t>
      </w:r>
    </w:p>
    <w:p>
      <w:pPr>
        <w:pStyle w:val="Compact"/>
        <w:numPr>
          <w:ilvl w:val="0"/>
          <w:numId w:val="1003"/>
        </w:numPr>
      </w:pPr>
      <w:r>
        <w:t xml:space="preserve">competitive wins versus legacy POS vendors;</w:t>
      </w:r>
    </w:p>
    <w:p>
      <w:pPr>
        <w:pStyle w:val="Compact"/>
        <w:numPr>
          <w:ilvl w:val="0"/>
          <w:numId w:val="1003"/>
        </w:numPr>
      </w:pPr>
      <w:r>
        <w:t xml:space="preserve">traction in enterprise restaurant, stadium/event, and quick-service use cases;</w:t>
      </w:r>
    </w:p>
    <w:p>
      <w:pPr>
        <w:pStyle w:val="Compact"/>
        <w:numPr>
          <w:ilvl w:val="0"/>
          <w:numId w:val="1003"/>
        </w:numPr>
      </w:pPr>
      <w:r>
        <w:t xml:space="preserve">adoption through Worldpay’s direct, ISO, and financial-institution distribution; and</w:t>
      </w:r>
    </w:p>
    <w:p>
      <w:pPr>
        <w:pStyle w:val="Compact"/>
        <w:numPr>
          <w:ilvl w:val="0"/>
          <w:numId w:val="1003"/>
        </w:numPr>
      </w:pPr>
      <w:r>
        <w:t xml:space="preserve">sales-force productivity from the roughly 500 planned new seller hires.</w:t>
      </w:r>
    </w:p>
    <w:p>
      <w:pPr>
        <w:pStyle w:val="FirstParagraph"/>
      </w:pPr>
      <w:r>
        <w:t xml:space="preserve">The bull case is not merely that Genius grows rapidly off a small base. It is that Genius improves GPN’s ability to win payment volume in restaurant and retail, raises merchant monetization through software and value-added services, and opens Worldpay’s distribution channels to an SMB product suite that management views as underdeveloped historically.</w:t>
      </w:r>
    </w:p>
    <w:bookmarkEnd w:id="12"/>
    <w:bookmarkStart w:id="13" w:name="X79a6853fe070093fc3a961258a104ab2c580915"/>
    <w:p>
      <w:pPr>
        <w:pStyle w:val="Heading3"/>
      </w:pPr>
      <w:r>
        <w:t xml:space="preserve">4. Worldpay integration: execution milestones now matter more than strategic logic</w:t>
      </w:r>
    </w:p>
    <w:p>
      <w:pPr>
        <w:pStyle w:val="FirstParagraph"/>
      </w:pPr>
      <w:r>
        <w:t xml:space="preserve">The strategic rationale for combining Global Payments and Worldpay is clear: broader enterprise and e-commerce capabilities, greater distribution, and cross-selling between the companies’ product sets. The near-term investment debate is execution.</w:t>
      </w:r>
    </w:p>
    <w:p>
      <w:pPr>
        <w:pStyle w:val="BodyText"/>
      </w:pPr>
      <w:r>
        <w:t xml:space="preserve">Management’s targets are substantial: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Integration target</w:t>
            </w:r>
          </w:p>
        </w:tc>
        <w:tc>
          <w:tcPr/>
          <w:p>
            <w:pPr>
              <w:pStyle w:val="Compact"/>
              <w:jc w:val="right"/>
            </w:pPr>
            <w:r>
              <w:t xml:space="preserve">Timing</w:t>
            </w:r>
          </w:p>
        </w:tc>
      </w:tr>
      <w:tr>
        <w:tc>
          <w:tcPr/>
          <w:p>
            <w:pPr>
              <w:pStyle w:val="Compact"/>
            </w:pPr>
            <w:r>
              <w:t xml:space="preserve">Worldpay expense synergies</w:t>
            </w:r>
          </w:p>
        </w:tc>
        <w:tc>
          <w:tcPr/>
          <w:p>
            <w:pPr>
              <w:pStyle w:val="Compact"/>
              <w:jc w:val="right"/>
            </w:pPr>
            <w:r>
              <w:rPr>
                <w:b/>
                <w:bCs/>
              </w:rPr>
              <w:t xml:space="preserve">$150M run-rate exiting 2026</w:t>
            </w:r>
          </w:p>
        </w:tc>
      </w:tr>
      <w:tr>
        <w:tc>
          <w:tcPr/>
          <w:p>
            <w:pPr>
              <w:pStyle w:val="Compact"/>
            </w:pPr>
            <w:r>
              <w:t xml:space="preserve">Worldpay expense synergies</w:t>
            </w:r>
          </w:p>
        </w:tc>
        <w:tc>
          <w:tcPr/>
          <w:p>
            <w:pPr>
              <w:pStyle w:val="Compact"/>
              <w:jc w:val="right"/>
            </w:pPr>
            <w:r>
              <w:rPr>
                <w:b/>
                <w:bCs/>
              </w:rPr>
              <w:t xml:space="preserve">$600M run-rate exiting 2028</w:t>
            </w:r>
          </w:p>
        </w:tc>
      </w:tr>
      <w:tr>
        <w:tc>
          <w:tcPr/>
          <w:p>
            <w:pPr>
              <w:pStyle w:val="Compact"/>
            </w:pPr>
            <w:r>
              <w:t xml:space="preserve">Worldpay revenue synergies</w:t>
            </w:r>
          </w:p>
        </w:tc>
        <w:tc>
          <w:tcPr/>
          <w:p>
            <w:pPr>
              <w:pStyle w:val="Compact"/>
              <w:jc w:val="right"/>
            </w:pPr>
            <w:r>
              <w:rPr>
                <w:b/>
                <w:bCs/>
              </w:rPr>
              <w:t xml:space="preserve">$200M run-rate exiting 2028</w:t>
            </w:r>
          </w:p>
        </w:tc>
      </w:tr>
      <w:tr>
        <w:tc>
          <w:tcPr/>
          <w:p>
            <w:pPr>
              <w:pStyle w:val="Compact"/>
            </w:pPr>
            <w:r>
              <w:t xml:space="preserve">GPN transformation benefits</w:t>
            </w:r>
          </w:p>
        </w:tc>
        <w:tc>
          <w:tcPr/>
          <w:p>
            <w:pPr>
              <w:pStyle w:val="Compact"/>
              <w:jc w:val="right"/>
            </w:pPr>
            <w:r>
              <w:rPr>
                <w:b/>
                <w:bCs/>
              </w:rPr>
              <w:t xml:space="preserve">&gt;$650M annual run-rate operating-income benefit by 1H27</w:t>
            </w:r>
          </w:p>
        </w:tc>
      </w:tr>
    </w:tbl>
    <w:p>
      <w:pPr>
        <w:pStyle w:val="BodyText"/>
      </w:pPr>
      <w:r>
        <w:t xml:space="preserve">The company has been clear that material revenue synergies are principally a</w:t>
      </w:r>
      <w:r>
        <w:t xml:space="preserve"> </w:t>
      </w:r>
      <w:r>
        <w:rPr>
          <w:b/>
          <w:bCs/>
        </w:rPr>
        <w:t xml:space="preserve">2027–2028</w:t>
      </w:r>
      <w:r>
        <w:t xml:space="preserve"> </w:t>
      </w:r>
      <w:r>
        <w:t xml:space="preserve">story, rather than a 2026 earnings driver. That is appropriate; investors should not demand an immediate revenue-synergy windfall. But they should expect tangible evidence that the enabling work is on schedule: unified go-to-market structure, sales-compensation alignment, product cross-sell, technology-architecture decisions, and disciplined cost actions.</w:t>
      </w:r>
    </w:p>
    <w:p>
      <w:pPr>
        <w:pStyle w:val="BodyText"/>
      </w:pPr>
      <w:r>
        <w:t xml:space="preserve">A positive catalyst would be management saying that integration is tracking ahead of plan or identifying incremental synergy opportunities. Conversely, any slippage in technology consolidation, organizational alignment, or customer retention would be a warning sign.</w:t>
      </w:r>
    </w:p>
    <w:bookmarkEnd w:id="13"/>
    <w:bookmarkStart w:id="14" w:name="X837134dbddcf72c79cf532002e1b2d52bb35017"/>
    <w:p>
      <w:pPr>
        <w:pStyle w:val="Heading3"/>
      </w:pPr>
      <w:r>
        <w:t xml:space="preserve">5. Margin, free cash flow, leverage, and capital returns</w:t>
      </w:r>
    </w:p>
    <w:p>
      <w:pPr>
        <w:pStyle w:val="FirstParagraph"/>
      </w:pPr>
      <w:r>
        <w:t xml:space="preserve">GPN’s adjusted model remains highly cash generative, but the transaction has increased the importance of disciplined capital allocation and deleveraging.</w:t>
      </w:r>
    </w:p>
    <w:p>
      <w:pPr>
        <w:pStyle w:val="BodyText"/>
      </w:pPr>
      <w:r>
        <w:t xml:space="preserve">At the end of Q1:</w:t>
      </w:r>
    </w:p>
    <w:p>
      <w:pPr>
        <w:pStyle w:val="Compact"/>
        <w:numPr>
          <w:ilvl w:val="0"/>
          <w:numId w:val="1004"/>
        </w:numPr>
      </w:pPr>
      <w:r>
        <w:t xml:space="preserve">net leverage was</w:t>
      </w:r>
      <w:r>
        <w:t xml:space="preserve"> </w:t>
      </w:r>
      <w:r>
        <w:rPr>
          <w:b/>
          <w:bCs/>
        </w:rPr>
        <w:t xml:space="preserve">3.5x</w:t>
      </w:r>
      <w:r>
        <w:t xml:space="preserve">;</w:t>
      </w:r>
    </w:p>
    <w:p>
      <w:pPr>
        <w:pStyle w:val="Compact"/>
        <w:numPr>
          <w:ilvl w:val="0"/>
          <w:numId w:val="1004"/>
        </w:numPr>
      </w:pPr>
      <w:r>
        <w:t xml:space="preserve">management reaffirmed its goal of reaching</w:t>
      </w:r>
      <w:r>
        <w:t xml:space="preserve"> </w:t>
      </w:r>
      <w:r>
        <w:rPr>
          <w:b/>
          <w:bCs/>
        </w:rPr>
        <w:t xml:space="preserve">3.0x net leverage by the end of 2027</w:t>
      </w:r>
      <w:r>
        <w:t xml:space="preserve">;</w:t>
      </w:r>
    </w:p>
    <w:p>
      <w:pPr>
        <w:pStyle w:val="Compact"/>
        <w:numPr>
          <w:ilvl w:val="0"/>
          <w:numId w:val="1004"/>
        </w:numPr>
      </w:pPr>
      <w:r>
        <w:t xml:space="preserve">full-year adjusted free-cash-flow conversion is expected to exceed</w:t>
      </w:r>
      <w:r>
        <w:t xml:space="preserve"> </w:t>
      </w:r>
      <w:r>
        <w:rPr>
          <w:b/>
          <w:bCs/>
        </w:rPr>
        <w:t xml:space="preserve">90%</w:t>
      </w:r>
      <w:r>
        <w:t xml:space="preserve">;</w:t>
      </w:r>
    </w:p>
    <w:p>
      <w:pPr>
        <w:pStyle w:val="Compact"/>
        <w:numPr>
          <w:ilvl w:val="0"/>
          <w:numId w:val="1004"/>
        </w:numPr>
      </w:pPr>
      <w:r>
        <w:t xml:space="preserve">2026 capex is expected to be about</w:t>
      </w:r>
      <w:r>
        <w:t xml:space="preserve"> </w:t>
      </w:r>
      <w:r>
        <w:rPr>
          <w:b/>
          <w:bCs/>
        </w:rPr>
        <w:t xml:space="preserve">$1.0 billion</w:t>
      </w:r>
      <w:r>
        <w:t xml:space="preserve">; and</w:t>
      </w:r>
    </w:p>
    <w:p>
      <w:pPr>
        <w:pStyle w:val="Compact"/>
        <w:numPr>
          <w:ilvl w:val="0"/>
          <w:numId w:val="1004"/>
        </w:numPr>
      </w:pPr>
      <w:r>
        <w:t xml:space="preserve">GPN expects to return more than</w:t>
      </w:r>
      <w:r>
        <w:t xml:space="preserve"> </w:t>
      </w:r>
      <w:r>
        <w:rPr>
          <w:b/>
          <w:bCs/>
        </w:rPr>
        <w:t xml:space="preserve">$2 billion</w:t>
      </w:r>
      <w:r>
        <w:t xml:space="preserve"> </w:t>
      </w:r>
      <w:r>
        <w:t xml:space="preserve">to shareholders in 2026 through dividends and repurchases.</w:t>
      </w:r>
    </w:p>
    <w:p>
      <w:pPr>
        <w:pStyle w:val="FirstParagraph"/>
      </w:pPr>
      <w:r>
        <w:t xml:space="preserve">The company had already completed a $550 million first-quarter accelerated share repurchase and announced another $500 million ASR in May. Investors should look for updated capital-return progress, cash conversion, debt paydown, and confirmation that shareholder returns are not impairing the planned deleveraging trajectory.</w:t>
      </w:r>
    </w:p>
    <w:p>
      <w:pPr>
        <w:pStyle w:val="BodyText"/>
      </w:pPr>
      <w:r>
        <w:t xml:space="preserve">GAAP results will remain noisy. In Q1, GPN reported a GAAP diluted loss of</w:t>
      </w:r>
      <w:r>
        <w:t xml:space="preserve"> </w:t>
      </w:r>
      <m:oMath>
        <m:r>
          <m:t>6.59</m:t>
        </m:r>
        <m:r>
          <m:rPr>
            <m:sty m:val="p"/>
          </m:rPr>
          <m:t>*</m:t>
        </m:r>
        <m:r>
          <m:rPr>
            <m:sty m:val="p"/>
          </m:rPr>
          <m:t>*</m:t>
        </m:r>
        <m:r>
          <m:t>p</m:t>
        </m:r>
        <m:r>
          <m:t>e</m:t>
        </m:r>
        <m:r>
          <m:t>r</m:t>
        </m:r>
        <m:r>
          <m:t>s</m:t>
        </m:r>
        <m:r>
          <m:t>h</m:t>
        </m:r>
        <m:r>
          <m:t>a</m:t>
        </m:r>
        <m:r>
          <m:t>r</m:t>
        </m:r>
        <m:r>
          <m:t>e</m:t>
        </m:r>
        <m:r>
          <m:rPr>
            <m:sty m:val="p"/>
          </m:rPr>
          <m:t>,</m:t>
        </m:r>
        <m:r>
          <m:t>d</m:t>
        </m:r>
        <m:r>
          <m:t>r</m:t>
        </m:r>
        <m:r>
          <m:t>i</m:t>
        </m:r>
        <m:r>
          <m:t>v</m:t>
        </m:r>
        <m:r>
          <m:t>e</m:t>
        </m:r>
        <m:r>
          <m:t>n</m:t>
        </m:r>
        <m:r>
          <m:t>h</m:t>
        </m:r>
        <m:r>
          <m:t>e</m:t>
        </m:r>
        <m:r>
          <m:t>a</m:t>
        </m:r>
        <m:r>
          <m:t>v</m:t>
        </m:r>
        <m:r>
          <m:t>i</m:t>
        </m:r>
        <m:r>
          <m:t>l</m:t>
        </m:r>
        <m:r>
          <m:t>y</m:t>
        </m:r>
        <m:r>
          <m:t>b</m:t>
        </m:r>
        <m:r>
          <m:t>y</m:t>
        </m:r>
        <m:r>
          <m:t>d</m:t>
        </m:r>
        <m:r>
          <m:t>i</m:t>
        </m:r>
        <m:r>
          <m:t>s</m:t>
        </m:r>
        <m:r>
          <m:t>c</m:t>
        </m:r>
        <m:r>
          <m:t>o</m:t>
        </m:r>
        <m:r>
          <m:t>n</m:t>
        </m:r>
        <m:r>
          <m:t>t</m:t>
        </m:r>
        <m:r>
          <m:t>i</m:t>
        </m:r>
        <m:r>
          <m:t>n</m:t>
        </m:r>
        <m:r>
          <m:t>u</m:t>
        </m:r>
        <m:r>
          <m:t>e</m:t>
        </m:r>
        <m:r>
          <m:t>d</m:t>
        </m:r>
        <m:r>
          <m:rPr>
            <m:sty m:val="p"/>
          </m:rPr>
          <m:t>−</m:t>
        </m:r>
        <m:r>
          <m:t>o</m:t>
        </m:r>
        <m:r>
          <m:t>p</m:t>
        </m:r>
        <m:r>
          <m:t>e</m:t>
        </m:r>
        <m:r>
          <m:t>r</m:t>
        </m:r>
        <m:r>
          <m:t>a</m:t>
        </m:r>
        <m:r>
          <m:t>t</m:t>
        </m:r>
        <m:r>
          <m:t>i</m:t>
        </m:r>
        <m:r>
          <m:t>o</m:t>
        </m:r>
        <m:r>
          <m:t>n</m:t>
        </m:r>
        <m:r>
          <m:t>e</m:t>
        </m:r>
        <m:r>
          <m:t>f</m:t>
        </m:r>
        <m:r>
          <m:t>f</m:t>
        </m:r>
        <m:r>
          <m:t>e</m:t>
        </m:r>
        <m:r>
          <m:t>c</m:t>
        </m:r>
        <m:r>
          <m:t>t</m:t>
        </m:r>
        <m:r>
          <m:t>s</m:t>
        </m:r>
        <m:r>
          <m:rPr>
            <m:sty m:val="p"/>
          </m:rPr>
          <m:t>,</m:t>
        </m:r>
        <m:r>
          <m:t>t</m:t>
        </m:r>
        <m:r>
          <m:t>r</m:t>
        </m:r>
        <m:r>
          <m:t>a</m:t>
        </m:r>
        <m:r>
          <m:t>n</m:t>
        </m:r>
        <m:r>
          <m:t>s</m:t>
        </m:r>
        <m:r>
          <m:t>a</m:t>
        </m:r>
        <m:r>
          <m:t>c</m:t>
        </m:r>
        <m:r>
          <m:t>t</m:t>
        </m:r>
        <m:r>
          <m:t>i</m:t>
        </m:r>
        <m:r>
          <m:t>o</m:t>
        </m:r>
        <m:r>
          <m:t>n</m:t>
        </m:r>
        <m:r>
          <m:t>i</m:t>
        </m:r>
        <m:r>
          <m:t>t</m:t>
        </m:r>
        <m:r>
          <m:t>e</m:t>
        </m:r>
        <m:r>
          <m:t>m</m:t>
        </m:r>
        <m:r>
          <m:t>s</m:t>
        </m:r>
        <m:r>
          <m:rPr>
            <m:sty m:val="p"/>
          </m:rPr>
          <m:t>,</m:t>
        </m:r>
        <m:r>
          <m:t>t</m:t>
        </m:r>
        <m:r>
          <m:t>r</m:t>
        </m:r>
        <m:r>
          <m:t>a</m:t>
        </m:r>
        <m:r>
          <m:t>n</m:t>
        </m:r>
        <m:r>
          <m:t>s</m:t>
        </m:r>
        <m:r>
          <m:t>f</m:t>
        </m:r>
        <m:r>
          <m:t>o</m:t>
        </m:r>
        <m:r>
          <m:t>r</m:t>
        </m:r>
        <m:r>
          <m:t>m</m:t>
        </m:r>
        <m:r>
          <m:t>a</m:t>
        </m:r>
        <m:r>
          <m:t>t</m:t>
        </m:r>
        <m:r>
          <m:t>i</m:t>
        </m:r>
        <m:r>
          <m:t>o</m:t>
        </m:r>
        <m:r>
          <m:t>n</m:t>
        </m:r>
        <m:r>
          <m:t>c</m:t>
        </m:r>
        <m:r>
          <m:t>h</m:t>
        </m:r>
        <m:r>
          <m:t>a</m:t>
        </m:r>
        <m:r>
          <m:t>r</m:t>
        </m:r>
        <m:r>
          <m:t>g</m:t>
        </m:r>
        <m:r>
          <m:t>e</m:t>
        </m:r>
        <m:r>
          <m:t>s</m:t>
        </m:r>
        <m:r>
          <m:rPr>
            <m:sty m:val="p"/>
          </m:rPr>
          <m:t>,</m:t>
        </m:r>
        <m:r>
          <m:t>a</m:t>
        </m:r>
        <m:r>
          <m:t>n</m:t>
        </m:r>
        <m:r>
          <m:t>d</m:t>
        </m:r>
        <m:r>
          <m:t>a</m:t>
        </m:r>
        <m:r>
          <m:t>c</m:t>
        </m:r>
        <m:r>
          <m:t>q</m:t>
        </m:r>
        <m:r>
          <m:t>u</m:t>
        </m:r>
        <m:r>
          <m:t>i</m:t>
        </m:r>
        <m:r>
          <m:t>s</m:t>
        </m:r>
        <m:r>
          <m:t>i</m:t>
        </m:r>
        <m:r>
          <m:t>t</m:t>
        </m:r>
        <m:r>
          <m:t>i</m:t>
        </m:r>
        <m:r>
          <m:t>o</m:t>
        </m:r>
        <m:r>
          <m:t>n</m:t>
        </m:r>
        <m:r>
          <m:rPr>
            <m:sty m:val="p"/>
          </m:rPr>
          <m:t>−</m:t>
        </m:r>
        <m:r>
          <m:t>r</m:t>
        </m:r>
        <m:r>
          <m:t>e</m:t>
        </m:r>
        <m:r>
          <m:t>l</m:t>
        </m:r>
        <m:r>
          <m:t>a</m:t>
        </m:r>
        <m:r>
          <m:t>t</m:t>
        </m:r>
        <m:r>
          <m:t>e</m:t>
        </m:r>
        <m:r>
          <m:t>d</m:t>
        </m:r>
        <m:r>
          <m:t>a</m:t>
        </m:r>
        <m:r>
          <m:t>m</m:t>
        </m:r>
        <m:r>
          <m:t>o</m:t>
        </m:r>
        <m:r>
          <m:t>r</m:t>
        </m:r>
        <m:r>
          <m:t>t</m:t>
        </m:r>
        <m:r>
          <m:t>i</m:t>
        </m:r>
        <m:r>
          <m:t>z</m:t>
        </m:r>
        <m:r>
          <m:t>a</m:t>
        </m:r>
        <m:r>
          <m:t>t</m:t>
        </m:r>
        <m:r>
          <m:t>i</m:t>
        </m:r>
        <m:r>
          <m:t>o</m:t>
        </m:r>
        <m:r>
          <m:t>n</m:t>
        </m:r>
        <m:r>
          <m:rPr>
            <m:sty m:val="p"/>
          </m:rPr>
          <m:t>,</m:t>
        </m:r>
        <m:r>
          <m:t>w</m:t>
        </m:r>
        <m:r>
          <m:t>h</m:t>
        </m:r>
        <m:r>
          <m:t>i</m:t>
        </m:r>
        <m:r>
          <m:t>l</m:t>
        </m:r>
        <m:r>
          <m:t>e</m:t>
        </m:r>
        <m:r>
          <m:t>a</m:t>
        </m:r>
        <m:r>
          <m:t>d</m:t>
        </m:r>
        <m:r>
          <m:t>j</m:t>
        </m:r>
        <m:r>
          <m:t>u</m:t>
        </m:r>
        <m:r>
          <m:t>s</m:t>
        </m:r>
        <m:r>
          <m:t>t</m:t>
        </m:r>
        <m:r>
          <m:t>e</m:t>
        </m:r>
        <m:r>
          <m:t>d</m:t>
        </m:r>
        <m:r>
          <m:t>E</m:t>
        </m:r>
        <m:r>
          <m:t>P</m:t>
        </m:r>
        <m:r>
          <m:t>S</m:t>
        </m:r>
        <m:r>
          <m:t>w</m:t>
        </m:r>
        <m:r>
          <m:t>a</m:t>
        </m:r>
        <m:r>
          <m:t>s</m:t>
        </m:r>
        <m:r>
          <m:rPr>
            <m:sty m:val="p"/>
          </m:rPr>
          <m:t>*</m:t>
        </m:r>
        <m:r>
          <m:rPr>
            <m:sty m:val="p"/>
          </m:rPr>
          <m:t>*</m:t>
        </m:r>
      </m:oMath>
      <w:r>
        <w:rPr>
          <w:b/>
          <w:bCs/>
        </w:rPr>
        <w:t xml:space="preserve">2.96</w:t>
      </w:r>
      <w:r>
        <w:t xml:space="preserve">. The non-GAAP bridge is therefore essential—but so is monitoring the cash cost, duration, and recurrence of the “adjustment” categories.</w:t>
      </w:r>
    </w:p>
    <w:bookmarkEnd w:id="14"/>
    <w:bookmarkEnd w:id="15"/>
    <w:bookmarkStart w:id="18" w:name="the-likely-debate-after-the-print"/>
    <w:p>
      <w:pPr>
        <w:pStyle w:val="Heading2"/>
      </w:pPr>
      <w:r>
        <w:t xml:space="preserve">The likely debate after the print</w:t>
      </w:r>
    </w:p>
    <w:bookmarkStart w:id="16" w:name="bull-case"/>
    <w:p>
      <w:pPr>
        <w:pStyle w:val="Heading3"/>
      </w:pPr>
      <w:r>
        <w:t xml:space="preserve">Bull case</w:t>
      </w:r>
    </w:p>
    <w:p>
      <w:pPr>
        <w:pStyle w:val="Compact"/>
        <w:numPr>
          <w:ilvl w:val="0"/>
          <w:numId w:val="1005"/>
        </w:numPr>
      </w:pPr>
      <w:r>
        <w:t xml:space="preserve">Q2 headwinds are no worse than previously flagged, with credible normalization beginning in 3Q.</w:t>
      </w:r>
    </w:p>
    <w:p>
      <w:pPr>
        <w:pStyle w:val="Compact"/>
        <w:numPr>
          <w:ilvl w:val="0"/>
          <w:numId w:val="1005"/>
        </w:numPr>
      </w:pPr>
      <w:r>
        <w:t xml:space="preserve">Core spending and e-commerce trends remain resilient.</w:t>
      </w:r>
    </w:p>
    <w:p>
      <w:pPr>
        <w:pStyle w:val="Compact"/>
        <w:numPr>
          <w:ilvl w:val="0"/>
          <w:numId w:val="1005"/>
        </w:numPr>
      </w:pPr>
      <w:r>
        <w:t xml:space="preserve">Genius maintains strong booking, yield, and payment-attachment momentum.</w:t>
      </w:r>
    </w:p>
    <w:p>
      <w:pPr>
        <w:pStyle w:val="Compact"/>
        <w:numPr>
          <w:ilvl w:val="0"/>
          <w:numId w:val="1005"/>
        </w:numPr>
      </w:pPr>
      <w:r>
        <w:t xml:space="preserve">Enterprise client activations support a visible second-half revenue lift.</w:t>
      </w:r>
    </w:p>
    <w:p>
      <w:pPr>
        <w:pStyle w:val="Compact"/>
        <w:numPr>
          <w:ilvl w:val="0"/>
          <w:numId w:val="1005"/>
        </w:numPr>
      </w:pPr>
      <w:r>
        <w:t xml:space="preserve">Integration costs and synergy realization track favorably, supporting the 150 bps full-year margin-expansion target.</w:t>
      </w:r>
    </w:p>
    <w:p>
      <w:pPr>
        <w:pStyle w:val="Compact"/>
        <w:numPr>
          <w:ilvl w:val="0"/>
          <w:numId w:val="1005"/>
        </w:numPr>
      </w:pPr>
      <w:r>
        <w:t xml:space="preserve">Free cash flow, buybacks, and leverage reduction all proceed as planned.</w:t>
      </w:r>
    </w:p>
    <w:bookmarkEnd w:id="16"/>
    <w:bookmarkStart w:id="17" w:name="bear-case"/>
    <w:p>
      <w:pPr>
        <w:pStyle w:val="Heading3"/>
      </w:pPr>
      <w:r>
        <w:t xml:space="preserve">Bear case</w:t>
      </w:r>
    </w:p>
    <w:p>
      <w:pPr>
        <w:pStyle w:val="Compact"/>
        <w:numPr>
          <w:ilvl w:val="0"/>
          <w:numId w:val="1006"/>
        </w:numPr>
      </w:pPr>
      <w:r>
        <w:t xml:space="preserve">Middle East travel disruption persists longer than assumed, delaying the expected second-half recovery.</w:t>
      </w:r>
    </w:p>
    <w:p>
      <w:pPr>
        <w:pStyle w:val="Compact"/>
        <w:numPr>
          <w:ilvl w:val="0"/>
          <w:numId w:val="1006"/>
        </w:numPr>
      </w:pPr>
      <w:r>
        <w:t xml:space="preserve">IRS tax-payment softness or weaker consumer trends expose underlying growth below the approximately 5% target.</w:t>
      </w:r>
    </w:p>
    <w:p>
      <w:pPr>
        <w:pStyle w:val="Compact"/>
        <w:numPr>
          <w:ilvl w:val="0"/>
          <w:numId w:val="1006"/>
        </w:numPr>
      </w:pPr>
      <w:r>
        <w:t xml:space="preserve">Enterprise implementations slip, weakening the expected back-half contribution.</w:t>
      </w:r>
    </w:p>
    <w:p>
      <w:pPr>
        <w:pStyle w:val="Compact"/>
        <w:numPr>
          <w:ilvl w:val="0"/>
          <w:numId w:val="1006"/>
        </w:numPr>
      </w:pPr>
      <w:r>
        <w:t xml:space="preserve">Integration complexity raises costs, disrupts commercial execution, or postpones technology simplification.</w:t>
      </w:r>
    </w:p>
    <w:p>
      <w:pPr>
        <w:pStyle w:val="Compact"/>
        <w:numPr>
          <w:ilvl w:val="0"/>
          <w:numId w:val="1006"/>
        </w:numPr>
      </w:pPr>
      <w:r>
        <w:t xml:space="preserve">Cash conversion or leverage progress falls short while the company continues aggressive capital returns.</w:t>
      </w:r>
    </w:p>
    <w:bookmarkEnd w:id="17"/>
    <w:bookmarkEnd w:id="18"/>
    <w:bookmarkStart w:id="19" w:name="stock-setup"/>
    <w:p>
      <w:pPr>
        <w:pStyle w:val="Heading2"/>
      </w:pPr>
      <w:r>
        <w:t xml:space="preserve">Stock setup</w:t>
      </w:r>
    </w:p>
    <w:p>
      <w:pPr>
        <w:pStyle w:val="FirstParagraph"/>
      </w:pPr>
      <w:r>
        <w:t xml:space="preserve">GPN closed at</w:t>
      </w:r>
      <w:r>
        <w:t xml:space="preserve"> </w:t>
      </w:r>
      <w:r>
        <w:rPr>
          <w:b/>
          <w:bCs/>
        </w:rPr>
        <w:t xml:space="preserve">$88.27 on August 4</w:t>
      </w:r>
      <w:r>
        <w:t xml:space="preserve">, up approximately</w:t>
      </w:r>
      <w:r>
        <w:t xml:space="preserve"> </w:t>
      </w:r>
      <w:r>
        <w:rPr>
          <w:b/>
          <w:bCs/>
        </w:rPr>
        <w:t xml:space="preserve">16.9% year to date</w:t>
      </w:r>
      <w:r>
        <w:t xml:space="preserve"> </w:t>
      </w:r>
      <w:r>
        <w:t xml:space="preserve">and</w:t>
      </w:r>
      <w:r>
        <w:t xml:space="preserve"> </w:t>
      </w:r>
      <w:r>
        <w:rPr>
          <w:b/>
          <w:bCs/>
        </w:rPr>
        <w:t xml:space="preserve">26.8% since the May 6 first-quarter earnings release</w:t>
      </w:r>
      <w:r>
        <w:t xml:space="preserve">. The stock has also risen roughly</w:t>
      </w:r>
      <w:r>
        <w:t xml:space="preserve"> </w:t>
      </w:r>
      <w:r>
        <w:rPr>
          <w:b/>
          <w:bCs/>
        </w:rPr>
        <w:t xml:space="preserve">5.0% since July 31</w:t>
      </w:r>
      <w:r>
        <w:t xml:space="preserve">, indicating that expectations may be firmer heading into the report.</w:t>
      </w:r>
    </w:p>
    <w:p>
      <w:pPr>
        <w:pStyle w:val="BodyText"/>
      </w:pPr>
      <w:r>
        <w:t xml:space="preserve">That setup raises the bar modestly: a simple quarterly beat may not be enough if it is accompanied by vague commentary on 2H growth, travel normalization, or integration. The more durable upside case requires management to validate that Q2 is the trough for reported organic growth and that the commercial, synergy, and capital-allocation engines are all progressing simultaneously.</w:t>
      </w:r>
    </w:p>
    <w:bookmarkEnd w:id="19"/>
    <w:bookmarkStart w:id="20" w:name="earnings-call-checklist"/>
    <w:p>
      <w:pPr>
        <w:pStyle w:val="Heading2"/>
      </w:pPr>
      <w:r>
        <w:t xml:space="preserve">Earnings-call checklist</w:t>
      </w:r>
    </w:p>
    <w:p>
      <w:pPr>
        <w:pStyle w:val="Compact"/>
        <w:numPr>
          <w:ilvl w:val="0"/>
          <w:numId w:val="1007"/>
        </w:numPr>
      </w:pPr>
      <w:r>
        <w:rPr>
          <w:b/>
          <w:bCs/>
        </w:rPr>
        <w:t xml:space="preserve">Did GPN reaffirm the</w:t>
      </w:r>
      <w:r>
        <w:rPr>
          <w:b/>
          <w:bCs/>
        </w:rPr>
        <w:t xml:space="preserve"> </w:t>
      </w:r>
      <m:oMath>
        <m:r>
          <m:t>13.80</m:t>
        </m:r>
        <m:r>
          <m:rPr>
            <m:sty m:val="p"/>
          </m:rPr>
          <m:t>–</m:t>
        </m:r>
      </m:oMath>
      <w:r>
        <w:rPr>
          <w:b/>
          <w:bCs/>
        </w:rPr>
        <w:t xml:space="preserve">14.00 adjusted-EPS range and ~5% normalized constant-currency revenue-growth outlook?</w:t>
      </w:r>
    </w:p>
    <w:p>
      <w:pPr>
        <w:pStyle w:val="Compact"/>
        <w:numPr>
          <w:ilvl w:val="0"/>
          <w:numId w:val="1007"/>
        </w:numPr>
      </w:pPr>
      <w:r>
        <w:rPr>
          <w:b/>
          <w:bCs/>
        </w:rPr>
        <w:t xml:space="preserve">How much of the anticipated 100 bps Q2 headwind from travel and IRS volumes occurred—and what is assumed for 3Q and 4Q?</w:t>
      </w:r>
    </w:p>
    <w:p>
      <w:pPr>
        <w:pStyle w:val="Compact"/>
        <w:numPr>
          <w:ilvl w:val="0"/>
          <w:numId w:val="1007"/>
        </w:numPr>
      </w:pPr>
      <w:r>
        <w:rPr>
          <w:b/>
          <w:bCs/>
        </w:rPr>
        <w:t xml:space="preserve">Did enterprise customer migrations begin on schedule?</w:t>
      </w:r>
    </w:p>
    <w:p>
      <w:pPr>
        <w:pStyle w:val="Compact"/>
        <w:numPr>
          <w:ilvl w:val="0"/>
          <w:numId w:val="1007"/>
        </w:numPr>
      </w:pPr>
      <w:r>
        <w:rPr>
          <w:b/>
          <w:bCs/>
        </w:rPr>
        <w:t xml:space="preserve">Are Genius bookings, payment attach, and merchant yields still accelerating?</w:t>
      </w:r>
    </w:p>
    <w:p>
      <w:pPr>
        <w:pStyle w:val="Compact"/>
        <w:numPr>
          <w:ilvl w:val="0"/>
          <w:numId w:val="1007"/>
        </w:numPr>
      </w:pPr>
      <w:r>
        <w:rPr>
          <w:b/>
          <w:bCs/>
        </w:rPr>
        <w:t xml:space="preserve">Are Worldpay cost synergies on pace for the $150 million 2026 exit-rate target?</w:t>
      </w:r>
    </w:p>
    <w:p>
      <w:pPr>
        <w:pStyle w:val="Compact"/>
        <w:numPr>
          <w:ilvl w:val="0"/>
          <w:numId w:val="1007"/>
        </w:numPr>
      </w:pPr>
      <w:r>
        <w:rPr>
          <w:b/>
          <w:bCs/>
        </w:rPr>
        <w:t xml:space="preserve">Has management completed the target technology architecture and begun translating it into simplification or cost actions?</w:t>
      </w:r>
    </w:p>
    <w:p>
      <w:pPr>
        <w:pStyle w:val="Compact"/>
        <w:numPr>
          <w:ilvl w:val="0"/>
          <w:numId w:val="1007"/>
        </w:numPr>
      </w:pPr>
      <w:r>
        <w:rPr>
          <w:b/>
          <w:bCs/>
        </w:rPr>
        <w:t xml:space="preserve">Are free-cash-flow conversion, buybacks, and leverage reduction progressing in line with plan?</w:t>
      </w:r>
    </w:p>
    <w:p>
      <w:pPr>
        <w:pStyle w:val="Compact"/>
        <w:numPr>
          <w:ilvl w:val="0"/>
          <w:numId w:val="1007"/>
        </w:numPr>
      </w:pPr>
      <w:r>
        <w:rPr>
          <w:b/>
          <w:bCs/>
        </w:rPr>
        <w:t xml:space="preserve">Does management offer any evidence of revenue synergies arriving earlier—or, at minimum, of the cross-sell pipeline building as expected?</w:t>
      </w:r>
    </w:p>
    <w:bookmarkEnd w:id="20"/>
    <w:bookmarkStart w:id="21" w:name="bottom-line"/>
    <w:p>
      <w:pPr>
        <w:pStyle w:val="Heading2"/>
      </w:pPr>
      <w:r>
        <w:t xml:space="preserve">Bottom line</w:t>
      </w:r>
    </w:p>
    <w:p>
      <w:pPr>
        <w:pStyle w:val="FirstParagraph"/>
      </w:pPr>
      <w:r>
        <w:t xml:space="preserve">GPN’s 2Q26 report is primarily a</w:t>
      </w:r>
      <w:r>
        <w:t xml:space="preserve"> </w:t>
      </w:r>
      <w:r>
        <w:rPr>
          <w:b/>
          <w:bCs/>
        </w:rPr>
        <w:t xml:space="preserve">proof-of-execution quarter</w:t>
      </w:r>
      <w:r>
        <w:t xml:space="preserve">. The company does not need to eliminate the already disclosed Q2 travel and tax-payment pressures to preserve the thesis. It does need to show that underlying payments demand, Genius adoption, enterprise onboarding, Worldpay integration, margins, and free cash flow are all developing well enough to support a second-half acceleration and the reaffirmed 2026 framework.</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2026-08-05T00:05:36Z</dcterms:created>
  <dcterms:modified xsi:type="dcterms:W3CDTF">2026-08-05T00:05:36Z</dcterms:modified>
</cp:coreProperties>
</file>

<file path=docProps/custom.xml><?xml version="1.0" encoding="utf-8"?>
<Properties xmlns="http://schemas.openxmlformats.org/officeDocument/2006/custom-properties" xmlns:vt="http://schemas.openxmlformats.org/officeDocument/2006/docPropsVTypes"/>
</file>