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Global Payments Inc. (GPN)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Global Payments Inc.</w:t>
            </w:r>
          </w:p>
        </w:tc>
        <w:tc>
          <w:tcPr>
            <w:tcW w:type="dxa" w:w="2160"/>
          </w:tcPr>
          <w:p>
            <w:r>
              <w:rPr>
                <w:rFonts w:ascii="Calibri" w:hAnsi="Calibri"/>
                <w:b/>
                <w:sz w:val="22"/>
              </w:rPr>
              <w:t>Ticker</w:t>
            </w:r>
          </w:p>
        </w:tc>
        <w:tc>
          <w:tcPr>
            <w:tcW w:type="dxa" w:w="2160"/>
          </w:tcPr>
          <w:p>
            <w:r>
              <w:rPr>
                <w:rFonts w:ascii="Calibri" w:hAnsi="Calibri"/>
                <w:sz w:val="22"/>
              </w:rPr>
              <w:t>GPN</w:t>
            </w:r>
          </w:p>
        </w:tc>
      </w:tr>
      <w:tr>
        <w:tc>
          <w:tcPr>
            <w:tcW w:type="dxa" w:w="2160"/>
          </w:tcPr>
          <w:p>
            <w:r>
              <w:rPr>
                <w:rFonts w:ascii="Calibri" w:hAnsi="Calibri"/>
                <w:b/>
                <w:sz w:val="22"/>
              </w:rPr>
              <w:t>Upcoming Earnings</w:t>
            </w:r>
          </w:p>
        </w:tc>
        <w:tc>
          <w:tcPr>
            <w:tcW w:type="dxa" w:w="2160"/>
          </w:tcPr>
          <w:p>
            <w:r>
              <w:rPr>
                <w:rFonts w:ascii="Calibri" w:hAnsi="Calibri"/>
                <w:sz w:val="22"/>
              </w:rPr>
              <w:t>Q2 2026 (expected early August 2026)</w:t>
            </w:r>
          </w:p>
        </w:tc>
        <w:tc>
          <w:tcPr>
            <w:tcW w:type="dxa" w:w="2160"/>
          </w:tcPr>
          <w:p>
            <w:r>
              <w:rPr>
                <w:rFonts w:ascii="Calibri" w:hAnsi="Calibri"/>
                <w:b/>
                <w:sz w:val="22"/>
              </w:rPr>
              <w:t>Prepared Date</w:t>
            </w:r>
          </w:p>
        </w:tc>
        <w:tc>
          <w:tcPr>
            <w:tcW w:type="dxa" w:w="2160"/>
          </w:tcPr>
          <w:p>
            <w:r>
              <w:rPr>
                <w:rFonts w:ascii="Calibri" w:hAnsi="Calibri"/>
                <w:sz w:val="22"/>
              </w:rPr>
              <w:t>August 4, 2026</w:t>
            </w:r>
          </w:p>
        </w:tc>
      </w:tr>
      <w:tr>
        <w:tc>
          <w:tcPr>
            <w:tcW w:type="dxa" w:w="2160"/>
          </w:tcPr>
          <w:p>
            <w:r>
              <w:rPr>
                <w:rFonts w:ascii="Calibri" w:hAnsi="Calibri"/>
                <w:b/>
                <w:sz w:val="22"/>
              </w:rPr>
              <w:t>Last Reported Period</w:t>
            </w:r>
          </w:p>
        </w:tc>
        <w:tc>
          <w:tcPr>
            <w:tcW w:type="dxa" w:w="2160"/>
          </w:tcPr>
          <w:p>
            <w:r>
              <w:rPr>
                <w:rFonts w:ascii="Calibri" w:hAnsi="Calibri"/>
                <w:sz w:val="22"/>
              </w:rPr>
              <w:t>Q1 2026 (reported May 6, 2026)</w:t>
            </w:r>
          </w:p>
        </w:tc>
        <w:tc>
          <w:tcPr>
            <w:tcW w:type="dxa" w:w="2160"/>
          </w:tcPr>
          <w:p>
            <w:r>
              <w:rPr>
                <w:rFonts w:ascii="Calibri" w:hAnsi="Calibri"/>
                <w:b/>
                <w:sz w:val="22"/>
              </w:rPr>
              <w:t>Sector ETF</w:t>
            </w:r>
          </w:p>
        </w:tc>
        <w:tc>
          <w:tcPr>
            <w:tcW w:type="dxa" w:w="2160"/>
          </w:tcPr>
          <w:p>
            <w:r>
              <w:rPr>
                <w:rFonts w:ascii="Calibri" w:hAnsi="Calibri"/>
                <w:sz w:val="22"/>
              </w:rPr>
              <w:t>XLF (Financials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slam dunk — consensus sits at a manageable bar on revenue (~$3.17B) with the Middle East travel headwind already flagged and largely priced in, making Worldpay integration execution and Genius momentum the primary swing factors for the print.</w:t>
      </w:r>
    </w:p>
    <w:p>
      <w:r>
        <w:rPr>
          <w:rFonts w:ascii="Calibri" w:hAnsi="Calibri"/>
          <w:color w:val="525866"/>
          <w:sz w:val="22"/>
        </w:rPr>
        <w:t xml:space="preserve">Heading into Q2 2026, GPN faces a well-telegraphed ~100 bps revenue headwind from Middle East airline volume disruptions and softer IRS tax payment volumes, both of which management quantified explicitly on the Q1 call and reiterated at the May JPMorgan and June Mizuho conferences — meaning the bar is already adjusted and consensus at ~$3.17B adjusted revenue reflects these drags. </w:t>
      </w:r>
      <w:r>
        <w:rPr>
          <w:rFonts w:ascii="Calibri" w:hAnsi="Calibri"/>
          <w:b/>
          <w:color w:val="525866"/>
          <w:sz w:val="22"/>
        </w:rPr>
        <w:t>Estimate trajectory has been modestly positive</w:t>
      </w:r>
      <w:r>
        <w:rPr>
          <w:rFonts w:ascii="Calibri" w:hAnsi="Calibri"/>
          <w:color w:val="525866"/>
          <w:sz w:val="22"/>
        </w:rPr>
        <w:t xml:space="preserve"> since the Q1 print, with EPS consensus edging up from $3.52 to $3.45 (current) as the market digests the transient headwinds against a durable underlying growth story. The stock has been a standout performer, up ~27% since the May 6 earnings date versus XLF +12% and SPY +5%, suggesting the market has already begun pricing in back-half acceleration and Worldpay synergy optionality — which raises the bar for a positive surprise on the print itself. </w:t>
      </w:r>
      <w:r>
        <w:rPr>
          <w:rFonts w:ascii="Calibri" w:hAnsi="Calibri"/>
          <w:b/>
          <w:color w:val="525866"/>
          <w:sz w:val="22"/>
        </w:rPr>
        <w:t>Management's tone has been consistently confident</w:t>
      </w:r>
      <w:r>
        <w:rPr>
          <w:rFonts w:ascii="Calibri" w:hAnsi="Calibri"/>
          <w:color w:val="525866"/>
          <w:sz w:val="22"/>
        </w:rPr>
        <w:t>: at both post-earnings conferences, CFO Whipple reaffirmed the full-year outlook, confirmed travel normalization remains the base case by end of Q2, and noted that by end of Q2 more than 50% of the $2B+ 2026 capital return target will have been completed. The key wildcard is whether Genius bookings and Worldpay cross-sell metrics — particularly e-commerce new sales into the SMB channel (up 25% sequentially in Q1) and Worldpay direct sellers selling Genius — show continued acceleration, which would validate the back-half growth ramp thesis and could drive a positive re-rating even if headline revenue lands in-line.</w:t>
      </w:r>
    </w:p>
    <w:p>
      <w:r>
        <w:rPr>
          <w:rFonts w:ascii="Calibri" w:hAnsi="Calibri"/>
          <w:color w:val="525866"/>
          <w:sz w:val="22"/>
        </w:rPr>
        <w:t>¹ Source: Visible Alpha Consensus and Actuals Data</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Adjusted Net Revenue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$2.324B</w:t>
            </w:r>
          </w:p>
        </w:tc>
        <w:tc>
          <w:tcPr>
            <w:tcW w:type="dxa" w:w="1728"/>
          </w:tcPr>
          <w:p>
            <w:r>
              <w:rPr>
                <w:rFonts w:ascii="Calibri" w:hAnsi="Calibri"/>
                <w:sz w:val="22"/>
              </w:rPr>
              <w:t>$2.316B</w:t>
            </w:r>
          </w:p>
        </w:tc>
        <w:tc>
          <w:tcPr>
            <w:tcW w:type="dxa" w:w="1728"/>
          </w:tcPr>
          <w:p>
            <w:r>
              <w:rPr>
                <w:rFonts w:ascii="Calibri" w:hAnsi="Calibri"/>
                <w:sz w:val="22"/>
              </w:rPr>
              <w:t>+0.4%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$2.357B</w:t>
            </w:r>
          </w:p>
        </w:tc>
        <w:tc>
          <w:tcPr>
            <w:tcW w:type="dxa" w:w="1728"/>
          </w:tcPr>
          <w:p>
            <w:r>
              <w:rPr>
                <w:rFonts w:ascii="Calibri" w:hAnsi="Calibri"/>
                <w:sz w:val="22"/>
              </w:rPr>
              <w:t>$2.383B</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$2.289B</w:t>
            </w:r>
          </w:p>
        </w:tc>
        <w:tc>
          <w:tcPr>
            <w:tcW w:type="dxa" w:w="1728"/>
          </w:tcPr>
          <w:p>
            <w:r>
              <w:rPr>
                <w:rFonts w:ascii="Calibri" w:hAnsi="Calibri"/>
                <w:sz w:val="22"/>
              </w:rPr>
              <w:t>$2.305B</w:t>
            </w:r>
          </w:p>
        </w:tc>
        <w:tc>
          <w:tcPr>
            <w:tcW w:type="dxa" w:w="1728"/>
          </w:tcPr>
          <w:p>
            <w:r>
              <w:rPr>
                <w:rFonts w:ascii="Calibri" w:hAnsi="Calibri"/>
                <w:sz w:val="22"/>
              </w:rPr>
              <w:t>-0.7%</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$2.205B</w:t>
            </w:r>
          </w:p>
        </w:tc>
        <w:tc>
          <w:tcPr>
            <w:tcW w:type="dxa" w:w="1728"/>
          </w:tcPr>
          <w:p>
            <w:r>
              <w:rPr>
                <w:rFonts w:ascii="Calibri" w:hAnsi="Calibri"/>
                <w:sz w:val="22"/>
              </w:rPr>
              <w:t>$2.194B</w:t>
            </w:r>
          </w:p>
        </w:tc>
        <w:tc>
          <w:tcPr>
            <w:tcW w:type="dxa" w:w="1728"/>
          </w:tcPr>
          <w:p>
            <w:r>
              <w:rPr>
                <w:rFonts w:ascii="Calibri" w:hAnsi="Calibri"/>
                <w:sz w:val="22"/>
              </w:rPr>
              <w:t>+0.5%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$2.361B</w:t>
            </w:r>
          </w:p>
        </w:tc>
        <w:tc>
          <w:tcPr>
            <w:tcW w:type="dxa" w:w="1728"/>
          </w:tcPr>
          <w:p>
            <w:r>
              <w:rPr>
                <w:rFonts w:ascii="Calibri" w:hAnsi="Calibri"/>
                <w:sz w:val="22"/>
              </w:rPr>
              <w:t>$2.354B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$2.429B</w:t>
            </w:r>
          </w:p>
        </w:tc>
        <w:tc>
          <w:tcPr>
            <w:tcW w:type="dxa" w:w="1728"/>
          </w:tcPr>
          <w:p>
            <w:r>
              <w:rPr>
                <w:rFonts w:ascii="Calibri" w:hAnsi="Calibri"/>
                <w:sz w:val="22"/>
              </w:rPr>
              <w:t>$2.403B</w:t>
            </w:r>
          </w:p>
        </w:tc>
        <w:tc>
          <w:tcPr>
            <w:tcW w:type="dxa" w:w="1728"/>
          </w:tcPr>
          <w:p>
            <w:r>
              <w:rPr>
                <w:rFonts w:ascii="Calibri" w:hAnsi="Calibri"/>
                <w:sz w:val="22"/>
              </w:rPr>
              <w:t>+1.1%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$2.320B</w:t>
            </w:r>
          </w:p>
        </w:tc>
        <w:tc>
          <w:tcPr>
            <w:tcW w:type="dxa" w:w="1728"/>
          </w:tcPr>
          <w:p>
            <w:r>
              <w:rPr>
                <w:rFonts w:ascii="Calibri" w:hAnsi="Calibri"/>
                <w:sz w:val="22"/>
              </w:rPr>
              <w:t>$2.328B</w:t>
            </w:r>
          </w:p>
        </w:tc>
        <w:tc>
          <w:tcPr>
            <w:tcW w:type="dxa" w:w="1728"/>
          </w:tcPr>
          <w:p>
            <w:r>
              <w:rPr>
                <w:rFonts w:ascii="Calibri" w:hAnsi="Calibri"/>
                <w:sz w:val="22"/>
              </w:rPr>
              <w:t>-0.3%</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$2.856B</w:t>
            </w:r>
          </w:p>
        </w:tc>
        <w:tc>
          <w:tcPr>
            <w:tcW w:type="dxa" w:w="1728"/>
          </w:tcPr>
          <w:p>
            <w:r>
              <w:rPr>
                <w:rFonts w:ascii="Calibri" w:hAnsi="Calibri"/>
                <w:sz w:val="22"/>
              </w:rPr>
              <w:t>$2.836B</w:t>
            </w:r>
          </w:p>
        </w:tc>
        <w:tc>
          <w:tcPr>
            <w:tcW w:type="dxa" w:w="1728"/>
          </w:tcPr>
          <w:p>
            <w:r>
              <w:rPr>
                <w:rFonts w:ascii="Calibri" w:hAnsi="Calibri"/>
                <w:sz w:val="22"/>
              </w:rPr>
              <w:t>+0.7%</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GPN has beaten on revenue in 5 of the last 8 quarters, with misses concentrated in Q3–4 2024 and Q4 2025 — the three quarters most affected by macro softness and pre-Worldpay transformation noise; the Q1 2026 beat was the first post-Worldpay print and came in above consensus despite the Middle East headwind.</w:t>
      </w:r>
    </w:p>
    <w:p>
      <w:r>
        <w:rPr>
          <w:rFonts w:ascii="Calibri" w:hAnsi="Calibri"/>
          <w:b/>
          <w:color w:val="525866"/>
          <w:sz w:val="22"/>
        </w:rPr>
        <w:t>Top KPI #2: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$2.80</w:t>
            </w:r>
          </w:p>
        </w:tc>
        <w:tc>
          <w:tcPr>
            <w:tcW w:type="dxa" w:w="1728"/>
          </w:tcPr>
          <w:p>
            <w:r>
              <w:rPr>
                <w:rFonts w:ascii="Calibri" w:hAnsi="Calibri"/>
                <w:sz w:val="22"/>
              </w:rPr>
              <w:t>$2.91</w:t>
            </w:r>
          </w:p>
        </w:tc>
        <w:tc>
          <w:tcPr>
            <w:tcW w:type="dxa" w:w="1728"/>
          </w:tcPr>
          <w:p>
            <w:r>
              <w:rPr>
                <w:rFonts w:ascii="Calibri" w:hAnsi="Calibri"/>
                <w:sz w:val="22"/>
              </w:rPr>
              <w:t>-3.8%</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$2.92</w:t>
            </w:r>
          </w:p>
        </w:tc>
        <w:tc>
          <w:tcPr>
            <w:tcW w:type="dxa" w:w="1728"/>
          </w:tcPr>
          <w:p>
            <w:r>
              <w:rPr>
                <w:rFonts w:ascii="Calibri" w:hAnsi="Calibri"/>
                <w:sz w:val="22"/>
              </w:rPr>
              <w:t>$3.09</w:t>
            </w:r>
          </w:p>
        </w:tc>
        <w:tc>
          <w:tcPr>
            <w:tcW w:type="dxa" w:w="1728"/>
          </w:tcPr>
          <w:p>
            <w:r>
              <w:rPr>
                <w:rFonts w:ascii="Calibri" w:hAnsi="Calibri"/>
                <w:sz w:val="22"/>
              </w:rPr>
              <w:t>-5.5%</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$2.85</w:t>
            </w:r>
          </w:p>
        </w:tc>
        <w:tc>
          <w:tcPr>
            <w:tcW w:type="dxa" w:w="1728"/>
          </w:tcPr>
          <w:p>
            <w:r>
              <w:rPr>
                <w:rFonts w:ascii="Calibri" w:hAnsi="Calibri"/>
                <w:sz w:val="22"/>
              </w:rPr>
              <w:t>$2.95</w:t>
            </w:r>
          </w:p>
        </w:tc>
        <w:tc>
          <w:tcPr>
            <w:tcW w:type="dxa" w:w="1728"/>
          </w:tcPr>
          <w:p>
            <w:r>
              <w:rPr>
                <w:rFonts w:ascii="Calibri" w:hAnsi="Calibri"/>
                <w:sz w:val="22"/>
              </w:rPr>
              <w:t>-3.4%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$2.69</w:t>
            </w:r>
          </w:p>
        </w:tc>
        <w:tc>
          <w:tcPr>
            <w:tcW w:type="dxa" w:w="1728"/>
          </w:tcPr>
          <w:p>
            <w:r>
              <w:rPr>
                <w:rFonts w:ascii="Calibri" w:hAnsi="Calibri"/>
                <w:sz w:val="22"/>
              </w:rPr>
              <w:t>$2.72</w:t>
            </w:r>
          </w:p>
        </w:tc>
        <w:tc>
          <w:tcPr>
            <w:tcW w:type="dxa" w:w="1728"/>
          </w:tcPr>
          <w:p>
            <w:r>
              <w:rPr>
                <w:rFonts w:ascii="Calibri" w:hAnsi="Calibri"/>
                <w:sz w:val="22"/>
              </w:rPr>
              <w:t>-1.1%</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$3.10</w:t>
            </w:r>
          </w:p>
        </w:tc>
        <w:tc>
          <w:tcPr>
            <w:tcW w:type="dxa" w:w="1728"/>
          </w:tcPr>
          <w:p>
            <w:r>
              <w:rPr>
                <w:rFonts w:ascii="Calibri" w:hAnsi="Calibri"/>
                <w:sz w:val="22"/>
              </w:rPr>
              <w:t>$3.06</w:t>
            </w:r>
          </w:p>
        </w:tc>
        <w:tc>
          <w:tcPr>
            <w:tcW w:type="dxa" w:w="1728"/>
          </w:tcPr>
          <w:p>
            <w:r>
              <w:rPr>
                <w:rFonts w:ascii="Calibri" w:hAnsi="Calibri"/>
                <w:sz w:val="22"/>
              </w:rPr>
              <w:t>+1.3%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$3.26</w:t>
            </w:r>
          </w:p>
        </w:tc>
        <w:tc>
          <w:tcPr>
            <w:tcW w:type="dxa" w:w="1728"/>
          </w:tcPr>
          <w:p>
            <w:r>
              <w:rPr>
                <w:rFonts w:ascii="Calibri" w:hAnsi="Calibri"/>
                <w:sz w:val="22"/>
              </w:rPr>
              <w:t>$3.25</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$3.18</w:t>
            </w:r>
          </w:p>
        </w:tc>
        <w:tc>
          <w:tcPr>
            <w:tcW w:type="dxa" w:w="1728"/>
          </w:tcPr>
          <w:p>
            <w:r>
              <w:rPr>
                <w:rFonts w:ascii="Calibri" w:hAnsi="Calibri"/>
                <w:sz w:val="22"/>
              </w:rPr>
              <w:t>$3.17</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$2.96</w:t>
            </w:r>
          </w:p>
        </w:tc>
        <w:tc>
          <w:tcPr>
            <w:tcW w:type="dxa" w:w="1728"/>
          </w:tcPr>
          <w:p>
            <w:r>
              <w:rPr>
                <w:rFonts w:ascii="Calibri" w:hAnsi="Calibri"/>
                <w:sz w:val="22"/>
              </w:rPr>
              <w:t>$2.83</w:t>
            </w:r>
          </w:p>
        </w:tc>
        <w:tc>
          <w:tcPr>
            <w:tcW w:type="dxa" w:w="1728"/>
          </w:tcPr>
          <w:p>
            <w:r>
              <w:rPr>
                <w:rFonts w:ascii="Calibri" w:hAnsi="Calibri"/>
                <w:sz w:val="22"/>
              </w:rPr>
              <w:t>+4.6%</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EPS missed in 4 consecutive quarters (Q2 2024–Q1 2025) during the peak transformation/restructuring period, then inflected to beats in Q2–Q4 2025 and delivered a strong +4.6% beat in Q1 2026 — the largest positive EPS surprise in the trailing 8 quarters, driven by Worldpay consolidation and margin expansion.</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has been fully reaffirmed with no changes since the Q1 earnings call; management tone has been consistently confident at both post-earnings conferences, with the only evolution being greater specificity on Worldpay synergy milestones and explicit confirmation that the Q2 travel headwind is materializing as expected.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Normalized CC Adj. Net Revenue Growth</w:t>
            </w:r>
          </w:p>
        </w:tc>
        <w:tc>
          <w:tcPr>
            <w:tcW w:type="dxa" w:w="1728"/>
          </w:tcPr>
          <w:p>
            <w:r>
              <w:rPr>
                <w:rFonts w:ascii="Calibri" w:hAnsi="Calibri"/>
                <w:sz w:val="22"/>
              </w:rPr>
              <w:t>~5%</w:t>
            </w:r>
          </w:p>
        </w:tc>
        <w:tc>
          <w:tcPr>
            <w:tcW w:type="dxa" w:w="1728"/>
          </w:tcPr>
          <w:p>
            <w:r>
              <w:rPr>
                <w:rFonts w:ascii="Calibri" w:hAnsi="Calibri"/>
                <w:sz w:val="22"/>
              </w:rPr>
              <w:t>—</w:t>
            </w:r>
          </w:p>
        </w:tc>
        <w:tc>
          <w:tcPr>
            <w:tcW w:type="dxa" w:w="1728"/>
          </w:tcPr>
          <w:p>
            <w:r>
              <w:rPr>
                <w:rFonts w:ascii="Calibri" w:hAnsi="Calibri"/>
                <w:sz w:val="22"/>
              </w:rPr>
              <w:t>Tracking to ~5% (consensus FY rev. $12.42B)</w:t>
            </w:r>
          </w:p>
        </w:tc>
        <w:tc>
          <w:tcPr>
            <w:tcW w:type="dxa" w:w="1728"/>
          </w:tcPr>
          <w:p>
            <w:r>
              <w:rPr>
                <w:rFonts w:ascii="Calibri" w:hAnsi="Calibri"/>
                <w:sz w:val="22"/>
              </w:rPr>
              <w:t>Reaffirmed at JPM (May 20) and Mizuho (Jun 10) conferences; no change</w:t>
            </w:r>
          </w:p>
        </w:tc>
      </w:tr>
      <w:tr>
        <w:tc>
          <w:tcPr>
            <w:tcW w:type="dxa" w:w="1728"/>
          </w:tcPr>
          <w:p>
            <w:r>
              <w:rPr>
                <w:rFonts w:ascii="Calibri" w:hAnsi="Calibri"/>
                <w:sz w:val="22"/>
              </w:rPr>
              <w:t>FY 2026 Adjusted EPS</w:t>
            </w:r>
          </w:p>
        </w:tc>
        <w:tc>
          <w:tcPr>
            <w:tcW w:type="dxa" w:w="1728"/>
          </w:tcPr>
          <w:p>
            <w:r>
              <w:rPr>
                <w:rFonts w:ascii="Calibri" w:hAnsi="Calibri"/>
                <w:sz w:val="22"/>
              </w:rPr>
              <w:t>$13.80–$14.00</w:t>
            </w:r>
          </w:p>
        </w:tc>
        <w:tc>
          <w:tcPr>
            <w:tcW w:type="dxa" w:w="1728"/>
          </w:tcPr>
          <w:p>
            <w:r>
              <w:rPr>
                <w:rFonts w:ascii="Calibri" w:hAnsi="Calibri"/>
                <w:sz w:val="22"/>
              </w:rPr>
              <w:t>—</w:t>
            </w:r>
          </w:p>
        </w:tc>
        <w:tc>
          <w:tcPr>
            <w:tcW w:type="dxa" w:w="1728"/>
          </w:tcPr>
          <w:p>
            <w:r>
              <w:rPr>
                <w:rFonts w:ascii="Calibri" w:hAnsi="Calibri"/>
                <w:sz w:val="22"/>
              </w:rPr>
              <w:t>$13.78 ¹</w:t>
            </w:r>
          </w:p>
        </w:tc>
        <w:tc>
          <w:tcPr>
            <w:tcW w:type="dxa" w:w="1728"/>
          </w:tcPr>
          <w:p>
            <w:r>
              <w:rPr>
                <w:rFonts w:ascii="Calibri" w:hAnsi="Calibri"/>
                <w:sz w:val="22"/>
              </w:rPr>
              <w:t>Reaffirmed; consensus sits just below midpoint ($13.90), reflecting modest conservatism</w:t>
            </w:r>
          </w:p>
        </w:tc>
      </w:tr>
      <w:tr>
        <w:tc>
          <w:tcPr>
            <w:tcW w:type="dxa" w:w="1728"/>
          </w:tcPr>
          <w:p>
            <w:r>
              <w:rPr>
                <w:rFonts w:ascii="Calibri" w:hAnsi="Calibri"/>
                <w:sz w:val="22"/>
              </w:rPr>
              <w:t>FY 2026 Normalized Adj. Operating Margin Expansion</w:t>
            </w:r>
          </w:p>
        </w:tc>
        <w:tc>
          <w:tcPr>
            <w:tcW w:type="dxa" w:w="1728"/>
          </w:tcPr>
          <w:p>
            <w:r>
              <w:rPr>
                <w:rFonts w:ascii="Calibri" w:hAnsi="Calibri"/>
                <w:sz w:val="22"/>
              </w:rPr>
              <w:t>~150 bps YoY</w:t>
            </w:r>
          </w:p>
        </w:tc>
        <w:tc>
          <w:tcPr>
            <w:tcW w:type="dxa" w:w="1728"/>
          </w:tcPr>
          <w:p>
            <w:r>
              <w:rPr>
                <w:rFonts w:ascii="Calibri" w:hAnsi="Calibri"/>
                <w:sz w:val="22"/>
              </w:rPr>
              <w:t>—</w:t>
            </w:r>
          </w:p>
        </w:tc>
        <w:tc>
          <w:tcPr>
            <w:tcW w:type="dxa" w:w="1728"/>
          </w:tcPr>
          <w:p>
            <w:r>
              <w:rPr>
                <w:rFonts w:ascii="Calibri" w:hAnsi="Calibri"/>
                <w:sz w:val="22"/>
              </w:rPr>
              <w:t>Tracking in line</w:t>
            </w:r>
          </w:p>
        </w:tc>
        <w:tc>
          <w:tcPr>
            <w:tcW w:type="dxa" w:w="1728"/>
          </w:tcPr>
          <w:p>
            <w:r>
              <w:rPr>
                <w:rFonts w:ascii="Calibri" w:hAnsi="Calibri"/>
                <w:sz w:val="22"/>
              </w:rPr>
              <w:t>Driven by transformation efficiencies and Worldpay cost synergies, weighted to H2</w:t>
            </w:r>
          </w:p>
        </w:tc>
      </w:tr>
      <w:tr>
        <w:tc>
          <w:tcPr>
            <w:tcW w:type="dxa" w:w="1728"/>
          </w:tcPr>
          <w:p>
            <w:r>
              <w:rPr>
                <w:rFonts w:ascii="Calibri" w:hAnsi="Calibri"/>
                <w:sz w:val="22"/>
              </w:rPr>
              <w:t>FY 2026 Adj. Free Cash Flow Conversion</w:t>
            </w:r>
          </w:p>
        </w:tc>
        <w:tc>
          <w:tcPr>
            <w:tcW w:type="dxa" w:w="1728"/>
          </w:tcPr>
          <w:p>
            <w:r>
              <w:rPr>
                <w:rFonts w:ascii="Calibri" w:hAnsi="Calibri"/>
                <w:sz w:val="22"/>
              </w:rPr>
              <w:t>&gt;90% of adj. net income</w:t>
            </w:r>
          </w:p>
        </w:tc>
        <w:tc>
          <w:tcPr>
            <w:tcW w:type="dxa" w:w="1728"/>
          </w:tcPr>
          <w:p>
            <w:r>
              <w:rPr>
                <w:rFonts w:ascii="Calibri" w:hAnsi="Calibri"/>
                <w:sz w:val="22"/>
              </w:rPr>
              <w:t>—</w:t>
            </w:r>
          </w:p>
        </w:tc>
        <w:tc>
          <w:tcPr>
            <w:tcW w:type="dxa" w:w="1728"/>
          </w:tcPr>
          <w:p>
            <w:r>
              <w:rPr>
                <w:rFonts w:ascii="Calibri" w:hAnsi="Calibri"/>
                <w:sz w:val="22"/>
              </w:rPr>
              <w:t>Consensus FCF $3.67B ¹</w:t>
            </w:r>
          </w:p>
        </w:tc>
        <w:tc>
          <w:tcPr>
            <w:tcW w:type="dxa" w:w="1728"/>
          </w:tcPr>
          <w:p>
            <w:r>
              <w:rPr>
                <w:rFonts w:ascii="Calibri" w:hAnsi="Calibri"/>
                <w:sz w:val="22"/>
              </w:rPr>
              <w:t>Reaffirmed; Q1 FCF conversion was ~70% (seasonally typical)</w:t>
            </w:r>
          </w:p>
        </w:tc>
      </w:tr>
      <w:tr>
        <w:tc>
          <w:tcPr>
            <w:tcW w:type="dxa" w:w="1728"/>
          </w:tcPr>
          <w:p>
            <w:r>
              <w:rPr>
                <w:rFonts w:ascii="Calibri" w:hAnsi="Calibri"/>
                <w:sz w:val="22"/>
              </w:rPr>
              <w:t>FY 2026 Capital Expenditures</w:t>
            </w:r>
          </w:p>
        </w:tc>
        <w:tc>
          <w:tcPr>
            <w:tcW w:type="dxa" w:w="1728"/>
          </w:tcPr>
          <w:p>
            <w:r>
              <w:rPr>
                <w:rFonts w:ascii="Calibri" w:hAnsi="Calibri"/>
                <w:sz w:val="22"/>
              </w:rPr>
              <w:t>~$1B (~8% of adj. net revenue)</w:t>
            </w:r>
          </w:p>
        </w:tc>
        <w:tc>
          <w:tcPr>
            <w:tcW w:type="dxa" w:w="1728"/>
          </w:tcPr>
          <w:p>
            <w:r>
              <w:rPr>
                <w:rFonts w:ascii="Calibri" w:hAnsi="Calibri"/>
                <w:sz w:val="22"/>
              </w:rPr>
              <w:t>—</w:t>
            </w:r>
          </w:p>
        </w:tc>
        <w:tc>
          <w:tcPr>
            <w:tcW w:type="dxa" w:w="1728"/>
          </w:tcPr>
          <w:p>
            <w:r>
              <w:rPr>
                <w:rFonts w:ascii="Calibri" w:hAnsi="Calibri"/>
                <w:sz w:val="22"/>
              </w:rPr>
              <w:t>Tracking to guidance</w:t>
            </w:r>
          </w:p>
        </w:tc>
        <w:tc>
          <w:tcPr>
            <w:tcW w:type="dxa" w:w="1728"/>
          </w:tcPr>
          <w:p>
            <w:r>
              <w:rPr>
                <w:rFonts w:ascii="Calibri" w:hAnsi="Calibri"/>
                <w:sz w:val="22"/>
              </w:rPr>
              <w:t>Reaffirmed; Q1 CapEx was $261M</w:t>
            </w:r>
          </w:p>
        </w:tc>
      </w:tr>
      <w:tr>
        <w:tc>
          <w:tcPr>
            <w:tcW w:type="dxa" w:w="1728"/>
          </w:tcPr>
          <w:p>
            <w:r>
              <w:rPr>
                <w:rFonts w:ascii="Calibri" w:hAnsi="Calibri"/>
                <w:sz w:val="22"/>
              </w:rPr>
              <w:t>FY 2026 Shareholder Returns</w:t>
            </w:r>
          </w:p>
        </w:tc>
        <w:tc>
          <w:tcPr>
            <w:tcW w:type="dxa" w:w="1728"/>
          </w:tcPr>
          <w:p>
            <w:r>
              <w:rPr>
                <w:rFonts w:ascii="Calibri" w:hAnsi="Calibri"/>
                <w:sz w:val="22"/>
              </w:rPr>
              <w:t>&gt;$2B (dividends + repurchases)</w:t>
            </w:r>
          </w:p>
        </w:tc>
        <w:tc>
          <w:tcPr>
            <w:tcW w:type="dxa" w:w="1728"/>
          </w:tcPr>
          <w:p>
            <w:r>
              <w:rPr>
                <w:rFonts w:ascii="Calibri" w:hAnsi="Calibri"/>
                <w:sz w:val="22"/>
              </w:rPr>
              <w:t>—</w:t>
            </w:r>
          </w:p>
        </w:tc>
        <w:tc>
          <w:tcPr>
            <w:tcW w:type="dxa" w:w="1728"/>
          </w:tcPr>
          <w:p>
            <w:r>
              <w:rPr>
                <w:rFonts w:ascii="Calibri" w:hAnsi="Calibri"/>
                <w:sz w:val="22"/>
              </w:rPr>
              <w:t>On track; &gt;50% expected complete by end of Q2</w:t>
            </w:r>
          </w:p>
        </w:tc>
        <w:tc>
          <w:tcPr>
            <w:tcW w:type="dxa" w:w="1728"/>
          </w:tcPr>
          <w:p>
            <w:r>
              <w:rPr>
                <w:rFonts w:ascii="Calibri" w:hAnsi="Calibri"/>
                <w:sz w:val="22"/>
              </w:rPr>
              <w:t>Additional $500M ASR announced May 7 (8-K); management confirmed &gt;50% of FY target done by Q2 end at Mizuho conference</w:t>
            </w:r>
          </w:p>
        </w:tc>
      </w:tr>
      <w:tr>
        <w:tc>
          <w:tcPr>
            <w:tcW w:type="dxa" w:w="1728"/>
          </w:tcPr>
          <w:p>
            <w:r>
              <w:rPr>
                <w:rFonts w:ascii="Calibri" w:hAnsi="Calibri"/>
                <w:sz w:val="22"/>
              </w:rPr>
              <w:t>Q2 2026 Revenue Headwind (Middle East + Tax)</w:t>
            </w:r>
          </w:p>
        </w:tc>
        <w:tc>
          <w:tcPr>
            <w:tcW w:type="dxa" w:w="1728"/>
          </w:tcPr>
          <w:p>
            <w:r>
              <w:rPr>
                <w:rFonts w:ascii="Calibri" w:hAnsi="Calibri"/>
                <w:sz w:val="22"/>
              </w:rPr>
              <w:t>Up to 100 bps headwind to adj. net revenue growth</w:t>
            </w:r>
          </w:p>
        </w:tc>
        <w:tc>
          <w:tcPr>
            <w:tcW w:type="dxa" w:w="1728"/>
          </w:tcPr>
          <w:p>
            <w:r>
              <w:rPr>
                <w:rFonts w:ascii="Calibri" w:hAnsi="Calibri"/>
                <w:sz w:val="22"/>
              </w:rPr>
              <w:t>—</w:t>
            </w:r>
          </w:p>
        </w:tc>
        <w:tc>
          <w:tcPr>
            <w:tcW w:type="dxa" w:w="1728"/>
          </w:tcPr>
          <w:p>
            <w:r>
              <w:rPr>
                <w:rFonts w:ascii="Calibri" w:hAnsi="Calibri"/>
                <w:sz w:val="22"/>
              </w:rPr>
              <w:t>Embedded in consensus</w:t>
            </w:r>
          </w:p>
        </w:tc>
        <w:tc>
          <w:tcPr>
            <w:tcW w:type="dxa" w:w="1728"/>
          </w:tcPr>
          <w:p>
            <w:r>
              <w:rPr>
                <w:rFonts w:ascii="Calibri" w:hAnsi="Calibri"/>
                <w:sz w:val="22"/>
              </w:rPr>
              <w:t>Confirmed materializing as expected at Mizuho (Jun 10); no change to full-year outlook</w:t>
            </w:r>
          </w:p>
        </w:tc>
      </w:tr>
      <w:tr>
        <w:tc>
          <w:tcPr>
            <w:tcW w:type="dxa" w:w="1728"/>
          </w:tcPr>
          <w:p>
            <w:r>
              <w:rPr>
                <w:rFonts w:ascii="Calibri" w:hAnsi="Calibri"/>
                <w:sz w:val="22"/>
              </w:rPr>
              <w:t>Worldpay Cost Synergies (FY 2026)</w:t>
            </w:r>
          </w:p>
        </w:tc>
        <w:tc>
          <w:tcPr>
            <w:tcW w:type="dxa" w:w="1728"/>
          </w:tcPr>
          <w:p>
            <w:r>
              <w:rPr>
                <w:rFonts w:ascii="Calibri" w:hAnsi="Calibri"/>
                <w:sz w:val="22"/>
              </w:rPr>
              <w:t>$70M–$80M realized; exit run-rate ~$150M</w:t>
            </w:r>
          </w:p>
        </w:tc>
        <w:tc>
          <w:tcPr>
            <w:tcW w:type="dxa" w:w="1728"/>
          </w:tcPr>
          <w:p>
            <w:r>
              <w:rPr>
                <w:rFonts w:ascii="Calibri" w:hAnsi="Calibri"/>
                <w:sz w:val="22"/>
              </w:rPr>
              <w:t>—</w:t>
            </w:r>
          </w:p>
        </w:tc>
        <w:tc>
          <w:tcPr>
            <w:tcW w:type="dxa" w:w="1728"/>
          </w:tcPr>
          <w:p>
            <w:r>
              <w:rPr>
                <w:rFonts w:ascii="Calibri" w:hAnsi="Calibri"/>
                <w:sz w:val="22"/>
              </w:rPr>
              <w:t>Tracking; “well on track” per management</w:t>
            </w:r>
          </w:p>
        </w:tc>
        <w:tc>
          <w:tcPr>
            <w:tcW w:type="dxa" w:w="1728"/>
          </w:tcPr>
          <w:p>
            <w:r>
              <w:rPr>
                <w:rFonts w:ascii="Calibri" w:hAnsi="Calibri"/>
                <w:sz w:val="22"/>
              </w:rPr>
              <w:t>Reiterated at Mizuho (Jun 10); $350M exit run-rate target for 2027, $600M for 2028</w:t>
            </w:r>
          </w:p>
        </w:tc>
      </w:tr>
    </w:tbl>
    <w:p>
      <w:r>
        <w:rPr>
          <w:rFonts w:ascii="Calibri" w:hAnsi="Calibri"/>
          <w:color w:val="525866"/>
          <w:sz w:val="22"/>
        </w:rPr>
        <w:t>¹ Source: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broadly stable-to-slightly-lower since the Q1 print, with Q2 2026 EPS consensus drifting down ~2% from the post-earnings baseline ($3.52 → $3.45) as the market digests the Middle East headwind, while FY 2026 EPS consensus is essentially flat — suggesting the street views Q2 as a transient trough and is not cutting the full-year view.</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5/11/26)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Adj. Net Revenue — Q2 2026</w:t>
            </w:r>
          </w:p>
        </w:tc>
        <w:tc>
          <w:tcPr>
            <w:tcW w:type="dxa" w:w="1080"/>
          </w:tcPr>
          <w:p>
            <w:r>
              <w:rPr>
                <w:rFonts w:ascii="Calibri" w:hAnsi="Calibri"/>
                <w:sz w:val="22"/>
              </w:rPr>
              <w:t>$3.180B ¹</w:t>
            </w:r>
          </w:p>
        </w:tc>
        <w:tc>
          <w:tcPr>
            <w:tcW w:type="dxa" w:w="1080"/>
          </w:tcPr>
          <w:p>
            <w:r>
              <w:rPr>
                <w:rFonts w:ascii="Calibri" w:hAnsi="Calibri"/>
                <w:sz w:val="22"/>
              </w:rPr>
              <w:t>$3.170B ¹</w:t>
            </w:r>
          </w:p>
        </w:tc>
        <w:tc>
          <w:tcPr>
            <w:tcW w:type="dxa" w:w="1080"/>
          </w:tcPr>
          <w:p>
            <w:r>
              <w:rPr>
                <w:rFonts w:ascii="Calibri" w:hAnsi="Calibri"/>
                <w:sz w:val="22"/>
              </w:rPr>
              <w:t>-0.3%</w:t>
            </w:r>
          </w:p>
        </w:tc>
        <w:tc>
          <w:tcPr>
            <w:tcW w:type="dxa" w:w="1080"/>
          </w:tcPr>
          <w:p>
            <w:r>
              <w:rPr>
                <w:rFonts w:ascii="Calibri" w:hAnsi="Calibri"/>
                <w:sz w:val="22"/>
              </w:rPr>
              <w:t>~5% CC growth (FY); up to 100 bps Q2 headwind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explicit Q2 $ guidance)</w:t>
            </w:r>
          </w:p>
        </w:tc>
      </w:tr>
      <w:tr>
        <w:tc>
          <w:tcPr>
            <w:tcW w:type="dxa" w:w="1080"/>
          </w:tcPr>
          <w:p>
            <w:r>
              <w:rPr>
                <w:rFonts w:ascii="Calibri" w:hAnsi="Calibri"/>
                <w:sz w:val="22"/>
              </w:rPr>
              <w:t>EPS (Diluted Operating) — Q2 2026</w:t>
            </w:r>
          </w:p>
        </w:tc>
        <w:tc>
          <w:tcPr>
            <w:tcW w:type="dxa" w:w="1080"/>
          </w:tcPr>
          <w:p>
            <w:r>
              <w:rPr>
                <w:rFonts w:ascii="Calibri" w:hAnsi="Calibri"/>
                <w:sz w:val="22"/>
              </w:rPr>
              <w:t>$3.52 ¹</w:t>
            </w:r>
          </w:p>
        </w:tc>
        <w:tc>
          <w:tcPr>
            <w:tcW w:type="dxa" w:w="1080"/>
          </w:tcPr>
          <w:p>
            <w:r>
              <w:rPr>
                <w:rFonts w:ascii="Calibri" w:hAnsi="Calibri"/>
                <w:sz w:val="22"/>
              </w:rPr>
              <w:t>$3.45 ¹</w:t>
            </w:r>
          </w:p>
        </w:tc>
        <w:tc>
          <w:tcPr>
            <w:tcW w:type="dxa" w:w="1080"/>
          </w:tcPr>
          <w:p>
            <w:r>
              <w:rPr>
                <w:rFonts w:ascii="Calibri" w:hAnsi="Calibri"/>
                <w:b/>
                <w:color w:val="E5484D"/>
                <w:sz w:val="22"/>
              </w:rPr>
              <w:t>-2.0%</w:t>
            </w:r>
          </w:p>
        </w:tc>
        <w:tc>
          <w:tcPr>
            <w:tcW w:type="dxa" w:w="1080"/>
          </w:tcPr>
          <w:p>
            <w:r>
              <w:rPr>
                <w:rFonts w:ascii="Calibri" w:hAnsi="Calibri"/>
                <w:sz w:val="22"/>
              </w:rPr>
              <w:t>$13.80–$14.00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 below FY midpoint annualized run-rate</w:t>
            </w:r>
          </w:p>
        </w:tc>
      </w:tr>
      <w:tr>
        <w:tc>
          <w:tcPr>
            <w:tcW w:type="dxa" w:w="1080"/>
          </w:tcPr>
          <w:p>
            <w:r>
              <w:rPr>
                <w:rFonts w:ascii="Calibri" w:hAnsi="Calibri"/>
                <w:sz w:val="22"/>
              </w:rPr>
              <w:t>Adj. Net Revenue — FY 2026</w:t>
            </w:r>
          </w:p>
        </w:tc>
        <w:tc>
          <w:tcPr>
            <w:tcW w:type="dxa" w:w="1080"/>
          </w:tcPr>
          <w:p>
            <w:r>
              <w:rPr>
                <w:rFonts w:ascii="Calibri" w:hAnsi="Calibri"/>
                <w:sz w:val="22"/>
              </w:rPr>
              <w:t>$12.461B ¹</w:t>
            </w:r>
          </w:p>
        </w:tc>
        <w:tc>
          <w:tcPr>
            <w:tcW w:type="dxa" w:w="1080"/>
          </w:tcPr>
          <w:p>
            <w:r>
              <w:rPr>
                <w:rFonts w:ascii="Calibri" w:hAnsi="Calibri"/>
                <w:sz w:val="22"/>
              </w:rPr>
              <w:t>$12.418B ¹</w:t>
            </w:r>
          </w:p>
        </w:tc>
        <w:tc>
          <w:tcPr>
            <w:tcW w:type="dxa" w:w="1080"/>
          </w:tcPr>
          <w:p>
            <w:r>
              <w:rPr>
                <w:rFonts w:ascii="Calibri" w:hAnsi="Calibri"/>
                <w:sz w:val="22"/>
              </w:rPr>
              <w:t>-0.3%</w:t>
            </w:r>
          </w:p>
        </w:tc>
        <w:tc>
          <w:tcPr>
            <w:tcW w:type="dxa" w:w="1080"/>
          </w:tcPr>
          <w:p>
            <w:r>
              <w:rPr>
                <w:rFonts w:ascii="Calibri" w:hAnsi="Calibri"/>
                <w:sz w:val="22"/>
              </w:rPr>
              <w:t>~5% normalized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to guidance</w:t>
            </w:r>
          </w:p>
        </w:tc>
      </w:tr>
      <w:tr>
        <w:tc>
          <w:tcPr>
            <w:tcW w:type="dxa" w:w="1080"/>
          </w:tcPr>
          <w:p>
            <w:r>
              <w:rPr>
                <w:rFonts w:ascii="Calibri" w:hAnsi="Calibri"/>
                <w:sz w:val="22"/>
              </w:rPr>
              <w:t>EPS (Diluted Operating) — FY 2026</w:t>
            </w:r>
          </w:p>
        </w:tc>
        <w:tc>
          <w:tcPr>
            <w:tcW w:type="dxa" w:w="1080"/>
          </w:tcPr>
          <w:p>
            <w:r>
              <w:rPr>
                <w:rFonts w:ascii="Calibri" w:hAnsi="Calibri"/>
                <w:sz w:val="22"/>
              </w:rPr>
              <w:t>$13.87 ¹</w:t>
            </w:r>
          </w:p>
        </w:tc>
        <w:tc>
          <w:tcPr>
            <w:tcW w:type="dxa" w:w="1080"/>
          </w:tcPr>
          <w:p>
            <w:r>
              <w:rPr>
                <w:rFonts w:ascii="Calibri" w:hAnsi="Calibri"/>
                <w:sz w:val="22"/>
              </w:rPr>
              <w:t>$13.78 ¹</w:t>
            </w:r>
          </w:p>
        </w:tc>
        <w:tc>
          <w:tcPr>
            <w:tcW w:type="dxa" w:w="1080"/>
          </w:tcPr>
          <w:p>
            <w:r>
              <w:rPr>
                <w:rFonts w:ascii="Calibri" w:hAnsi="Calibri"/>
                <w:sz w:val="22"/>
              </w:rPr>
              <w:t>-0.6%</w:t>
            </w:r>
          </w:p>
        </w:tc>
        <w:tc>
          <w:tcPr>
            <w:tcW w:type="dxa" w:w="1080"/>
          </w:tcPr>
          <w:p>
            <w:r>
              <w:rPr>
                <w:rFonts w:ascii="Calibri" w:hAnsi="Calibri"/>
                <w:sz w:val="22"/>
              </w:rPr>
              <w:t>$13.80–$14.00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vs. midpoint ($13.90); within guidance range</w:t>
            </w:r>
          </w:p>
        </w:tc>
      </w:tr>
      <w:tr>
        <w:tc>
          <w:tcPr>
            <w:tcW w:type="dxa" w:w="1080"/>
          </w:tcPr>
          <w:p>
            <w:r>
              <w:rPr>
                <w:rFonts w:ascii="Calibri" w:hAnsi="Calibri"/>
                <w:sz w:val="22"/>
              </w:rPr>
              <w:t>EBITDA (Operating) — Q2 2026</w:t>
            </w:r>
          </w:p>
        </w:tc>
        <w:tc>
          <w:tcPr>
            <w:tcW w:type="dxa" w:w="1080"/>
          </w:tcPr>
          <w:p>
            <w:r>
              <w:rPr>
                <w:rFonts w:ascii="Calibri" w:hAnsi="Calibri"/>
                <w:sz w:val="22"/>
              </w:rPr>
              <w:t>$1.500B ¹</w:t>
            </w:r>
          </w:p>
        </w:tc>
        <w:tc>
          <w:tcPr>
            <w:tcW w:type="dxa" w:w="1080"/>
          </w:tcPr>
          <w:p>
            <w:r>
              <w:rPr>
                <w:rFonts w:ascii="Calibri" w:hAnsi="Calibri"/>
                <w:sz w:val="22"/>
              </w:rPr>
              <w:t>$1.479B ¹</w:t>
            </w:r>
          </w:p>
        </w:tc>
        <w:tc>
          <w:tcPr>
            <w:tcW w:type="dxa" w:w="1080"/>
          </w:tcPr>
          <w:p>
            <w:r>
              <w:rPr>
                <w:rFonts w:ascii="Calibri" w:hAnsi="Calibri"/>
                <w:sz w:val="22"/>
              </w:rPr>
              <w:t>-1.4%</w:t>
            </w:r>
          </w:p>
        </w:tc>
        <w:tc>
          <w:tcPr>
            <w:tcW w:type="dxa" w:w="1080"/>
          </w:tcPr>
          <w:p>
            <w:r>
              <w:rPr>
                <w:rFonts w:ascii="Calibri" w:hAnsi="Calibri"/>
                <w:sz w:val="22"/>
              </w:rPr>
              <w:t>~150 bps margin expansion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explicit EBITDA guidance)</w:t>
            </w:r>
          </w:p>
        </w:tc>
      </w:tr>
      <w:tr>
        <w:tc>
          <w:tcPr>
            <w:tcW w:type="dxa" w:w="1080"/>
          </w:tcPr>
          <w:p>
            <w:r>
              <w:rPr>
                <w:rFonts w:ascii="Calibri" w:hAnsi="Calibri"/>
                <w:sz w:val="22"/>
              </w:rPr>
              <w:t>EBITDA (Operating) — FY 2026</w:t>
            </w:r>
          </w:p>
        </w:tc>
        <w:tc>
          <w:tcPr>
            <w:tcW w:type="dxa" w:w="1080"/>
          </w:tcPr>
          <w:p>
            <w:r>
              <w:rPr>
                <w:rFonts w:ascii="Calibri" w:hAnsi="Calibri"/>
                <w:sz w:val="22"/>
              </w:rPr>
              <w:t>$5.819B ¹</w:t>
            </w:r>
          </w:p>
        </w:tc>
        <w:tc>
          <w:tcPr>
            <w:tcW w:type="dxa" w:w="1080"/>
          </w:tcPr>
          <w:p>
            <w:r>
              <w:rPr>
                <w:rFonts w:ascii="Calibri" w:hAnsi="Calibri"/>
                <w:sz w:val="22"/>
              </w:rPr>
              <w:t>$5.760B ¹</w:t>
            </w:r>
          </w:p>
        </w:tc>
        <w:tc>
          <w:tcPr>
            <w:tcW w:type="dxa" w:w="1080"/>
          </w:tcPr>
          <w:p>
            <w:r>
              <w:rPr>
                <w:rFonts w:ascii="Calibri" w:hAnsi="Calibri"/>
                <w:sz w:val="22"/>
              </w:rPr>
              <w:t>-1.0%</w:t>
            </w:r>
          </w:p>
        </w:tc>
        <w:tc>
          <w:tcPr>
            <w:tcW w:type="dxa" w:w="1080"/>
          </w:tcPr>
          <w:p>
            <w:r>
              <w:rPr>
                <w:rFonts w:ascii="Calibri" w:hAnsi="Calibri"/>
                <w:sz w:val="22"/>
              </w:rPr>
              <w:t>~150 bps margin expansion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 xml:space="preserve">¹ Source: Visible Alpha Consensus and Actuals Data. </w:t>
      </w:r>
      <w:r>
        <w:rPr>
          <w:rFonts w:ascii="Calibri" w:hAnsi="Calibri"/>
          <w:color w:val="525866"/>
          <w:sz w:val="22"/>
        </w:rPr>
        <w:t>Estimates are tracking guidance closely with only modest downward drift on Q2 EPS (~2%), consistent with the market embedding the known Middle East headwind rather than pricing in incremental risk. The gap between current FY EPS consensus ($13.78) and the guidance midpoint ($13.90) represents a small cushion that could close if Q2 comes in at or above the $3.45 consensus.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GPN has dramatically outperformed since Q1 earnings (+26.7% vs. XLF +11.7% and SPY +5.1%), driven by a combination of multiple re-rating as Worldpay integration de-risked and Genius adoption metrics validated the growth thesis — the stock's strong run raises the bar for a positive surprise on Q2.</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GPN vs. XLF (Financials ETF) vs. S&amp;P 500 (SPY) — Indexed to 100 at Q1 2026 Earnings Date (May 6, 2026). Source: Stock Price Data.</w:t>
      </w:r>
    </w:p>
    <w:p>
      <w:r>
        <w:rPr>
          <w:rFonts w:ascii="Calibri" w:hAnsi="Calibri"/>
          <w:color w:val="525866"/>
          <w:sz w:val="22"/>
        </w:rPr>
        <w:t>GPN closed at $88.25 on August 4, 2026, up +26.7% from the Q1 earnings close of $69.63, versus XLF +11.7% and SPY +5.1% over the same period. The stock's outperformance was broad-based and sustained, with no single catalyst driving the move — rather, a steady re-rating as the market gained conviction on: (1) Worldpay integration execution (cultural alignment described as “eerily similar,” early cross-sell wins within weeks of close), (2) Genius platform momentum (bookings nearly doubled YoY, locations +25%, payment attach rates +20%), and (3) aggressive capital return execution ($550M ASR in Q1, additional $500M ASR announced May 7). The stock did experience a sharp pullback in early June (from ~$75 to ~$62 between June 2–10), likely driven by broader market volatility and sector rotation, before recovering strongly through July. The +26.7% gain since earnings means the stock is no longer cheap on a relative basis, and the market has already priced in meaningful back-half acceleration — setting a higher bar for the Q2 print to sustain momentum.</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$500M accelerated share repurchase initiated May 7, confirming management's commitment to aggressive capital return and signaling confidence in the business trajectory; Worldpay integration milestones and Genius product launches are the key operational read-throughs for the Q2 print.</w:t>
      </w:r>
    </w:p>
    <w:p>
      <w:pPr>
        <w:pStyle w:val="ListBullet"/>
        <w:ind w:left="360" w:hanging="360"/>
      </w:pPr>
      <w:r>
        <w:rPr>
          <w:rFonts w:ascii="Calibri" w:hAnsi="Calibri"/>
          <w:b/>
          <w:color w:val="525866"/>
          <w:sz w:val="22"/>
        </w:rPr>
        <w:t>May 7, 2026 — $500M Accelerated Share Repurchase (ASR) Initiated (8-K).</w:t>
      </w:r>
      <w:r>
        <w:rPr>
          <w:rFonts w:ascii="Calibri" w:hAnsi="Calibri"/>
          <w:color w:val="525866"/>
          <w:sz w:val="22"/>
        </w:rPr>
        <w:t xml:space="preserve"> GPN announced a new $500M ASR program one day after Q1 earnings, following the $550M ASR executed in Q1. Management confirmed at the Mizuho conference that by end of Q2, more than 50% of the full-year $2B+ capital return target will have been completed. </w:t>
      </w:r>
    </w:p>
    <w:p>
      <w:pPr>
        <w:pStyle w:val="ListBullet"/>
        <w:ind w:left="360" w:hanging="360"/>
      </w:pPr>
      <w:r>
        <w:rPr>
          <w:rFonts w:ascii="Calibri" w:hAnsi="Calibri"/>
          <w:b/>
          <w:color w:val="525866"/>
          <w:sz w:val="22"/>
        </w:rPr>
        <w:t>May 6, 2026 — Q1 2026 Earnings Beat; Full-Year Guidance Reaffirmed.</w:t>
      </w:r>
      <w:r>
        <w:rPr>
          <w:rFonts w:ascii="Calibri" w:hAnsi="Calibri"/>
          <w:color w:val="525866"/>
          <w:sz w:val="22"/>
        </w:rPr>
        <w:t xml:space="preserve"> Adjusted EPS of $2.96 beat consensus of $2.83 by +4.6%; adjusted net revenue of $2.856B beat consensus of $2.836B by +0.7%. Full-year 2026 guidance reaffirmed at $13.80–$14.00 EPS and ~5% normalized CC revenue growth. Genius bookings nearly doubled YoY; Worldpay integration described as ahead of schedule on cultural alignment and early cross-sell. </w:t>
      </w:r>
    </w:p>
    <w:p>
      <w:pPr>
        <w:pStyle w:val="ListBullet"/>
        <w:ind w:left="360" w:hanging="360"/>
      </w:pPr>
      <w:r>
        <w:rPr>
          <w:rFonts w:ascii="Calibri" w:hAnsi="Calibri"/>
          <w:b/>
          <w:color w:val="525866"/>
          <w:sz w:val="22"/>
        </w:rPr>
        <w:t>May 20, 2026 — JPMorgan Global Technology, Media &amp; Communications Conference.</w:t>
      </w:r>
      <w:r>
        <w:rPr>
          <w:rFonts w:ascii="Calibri" w:hAnsi="Calibri"/>
          <w:color w:val="525866"/>
          <w:sz w:val="22"/>
        </w:rPr>
        <w:t xml:space="preserve"> CFO Josh Whipple confirmed no change to 2026 outlook, reiterated up to 100 bps Q2 revenue headwind from Middle East and tax payment softness, and described consumer spending as “surprisingly healthy.” Worldpay integration described as “moving full steam ahead” with cultural alignment as the “most pleasant surprise.” Cost synergy milestones quantified: $70M–$80M realized in 2026, exiting at $150M run-rate. </w:t>
      </w:r>
    </w:p>
    <w:p>
      <w:pPr>
        <w:pStyle w:val="ListBullet"/>
        <w:ind w:left="360" w:hanging="360"/>
      </w:pPr>
      <w:r>
        <w:rPr>
          <w:rFonts w:ascii="Calibri" w:hAnsi="Calibri"/>
          <w:b/>
          <w:color w:val="525866"/>
          <w:sz w:val="22"/>
        </w:rPr>
        <w:t>June 10, 2026 — Mizuho Technology Conference.</w:t>
      </w:r>
      <w:r>
        <w:rPr>
          <w:rFonts w:ascii="Calibri" w:hAnsi="Calibri"/>
          <w:color w:val="525866"/>
          <w:sz w:val="22"/>
        </w:rPr>
        <w:t xml:space="preserve"> CEO Cameron Bready confirmed Q2 headwind materializing as expected (no change to guidance), reiterated back-half normalization assumption, and provided additional detail on Worldpay synergy milestones ($600M cost synergy target, $200M revenue synergy run-rate exiting 2028). Genius AI-first handheld and new kiosk line highlighted as key product innovations. </w:t>
      </w:r>
    </w:p>
    <w:p>
      <w:pPr>
        <w:pStyle w:val="ListBullet"/>
        <w:ind w:left="360" w:hanging="360"/>
      </w:pPr>
      <w:r>
        <w:rPr>
          <w:rFonts w:ascii="Calibri" w:hAnsi="Calibri"/>
          <w:b/>
          <w:color w:val="525866"/>
          <w:sz w:val="22"/>
        </w:rPr>
        <w:t>May 2026 — National Restaurant Association Show Product Launches.</w:t>
      </w:r>
      <w:r>
        <w:rPr>
          <w:rFonts w:ascii="Calibri" w:hAnsi="Calibri"/>
          <w:color w:val="525866"/>
          <w:sz w:val="22"/>
        </w:rPr>
        <w:t xml:space="preserve"> GPN launched three new Genius products: (1) AI-first handheld with local on-device AI processing (first OLED screen on a payment device, 78-hour battery life), (2) new kiosk line in freestanding/wall-mount/counter-mount configurations, and (3) AI-enabled back-office business management stack for conversational business insights. These launches expand Genius’s addressable market and deepen its competitive moat in the restaurant vertical. </w:t>
      </w:r>
    </w:p>
    <w:p>
      <w:pPr>
        <w:pStyle w:val="ListBullet"/>
        <w:ind w:left="360" w:hanging="360"/>
      </w:pPr>
      <w:r>
        <w:rPr>
          <w:rFonts w:ascii="Calibri" w:hAnsi="Calibri"/>
          <w:b/>
          <w:color w:val="525866"/>
          <w:sz w:val="22"/>
        </w:rPr>
        <w:t>Q1 2026 — Worldpay Integration Milestones.</w:t>
      </w:r>
      <w:r>
        <w:rPr>
          <w:rFonts w:ascii="Calibri" w:hAnsi="Calibri"/>
          <w:color w:val="525866"/>
          <w:sz w:val="22"/>
        </w:rPr>
        <w:t xml:space="preserve"> Target operating model and go-to-market structure implemented; sales forces integrated; technology architecture design finalizing (expected complete by mid-2026). Worldpay direct sellers began selling Genius almost immediately post-close; e-commerce new sales into SMB channel up 25% sequentially and more than doubled YoY. CKE Restaurants (Hardee’s/Carl’s Jr., 2,400+ locations) signed as exclusive Genius POS client. </w:t>
      </w:r>
    </w:p>
    <w:p>
      <w:pPr>
        <w:pStyle w:val="ListBullet"/>
        <w:ind w:left="360" w:hanging="360"/>
      </w:pPr>
      <w:r>
        <w:rPr>
          <w:rFonts w:ascii="Calibri" w:hAnsi="Calibri"/>
          <w:b/>
          <w:color w:val="525866"/>
          <w:sz w:val="22"/>
        </w:rPr>
        <w:t>Q1 2026 — Enterprise Wins Pipeline.</w:t>
      </w:r>
      <w:r>
        <w:rPr>
          <w:rFonts w:ascii="Calibri" w:hAnsi="Calibri"/>
          <w:color w:val="525866"/>
          <w:sz w:val="22"/>
        </w:rPr>
        <w:t xml:space="preserve"> Notable new signings include Abercrombie &amp; Fitch (U.S. card-based payments), ALDI SUD (North America and EMEA), Morrisons (U.K.), Decathlon and Lidl (Spain), KFC and Pizza Hut (Asia Pacific). Management noted a “pretty large signed-but-not-yet-live portfolio” in enterprise expected to begin processing in H2 2026, providing visibility into enterprise revenue acceleration. </w:t>
      </w:r>
    </w:p>
    <w:p>
      <w:pPr>
        <w:pStyle w:val="ListBullet"/>
        <w:ind w:left="360" w:hanging="360"/>
      </w:pPr>
      <w:r>
        <w:rPr>
          <w:rFonts w:ascii="Calibri" w:hAnsi="Calibri"/>
          <w:b/>
          <w:color w:val="525866"/>
          <w:sz w:val="22"/>
        </w:rPr>
        <w:t>Macro Watch — Middle East Conflict and Tax Payment Softness.</w:t>
      </w:r>
      <w:r>
        <w:rPr>
          <w:rFonts w:ascii="Calibri" w:hAnsi="Calibri"/>
          <w:color w:val="525866"/>
          <w:sz w:val="22"/>
        </w:rPr>
        <w:t xml:space="preserve"> GPN serves the 12 largest Middle Eastern airlines, which have scaled back routes 30%–70% depending on carrier. Lufthansa (also a GPN client) canceled 20,000 flights. Combined with softer IRS tax payment volumes from the One Big Beautiful Bill Act, management quantified up to 100 bps Q2 revenue headwind. Both viewed as transient; full-year guidance assumes travel normalizes by end of Q2. </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since Q1 earnings — all transactions are tax withholding (code F) or option exercises (codes M/A), which are obligation-driven and carry no directional signal. The absence of discretionary insider selling despite a +27% stock run is mildly constructive.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Cameron M. Bready</w:t>
            </w:r>
          </w:p>
        </w:tc>
        <w:tc>
          <w:tcPr>
            <w:tcW w:type="dxa" w:w="1440"/>
          </w:tcPr>
          <w:p>
            <w:r>
              <w:rPr>
                <w:rFonts w:ascii="Calibri" w:hAnsi="Calibri"/>
                <w:sz w:val="22"/>
              </w:rPr>
              <w:t>CEO &amp; Director</w:t>
            </w:r>
          </w:p>
        </w:tc>
        <w:tc>
          <w:tcPr>
            <w:tcW w:type="dxa" w:w="1440"/>
          </w:tcPr>
          <w:p>
            <w:r>
              <w:rPr>
                <w:rFonts w:ascii="Calibri" w:hAnsi="Calibri"/>
                <w:sz w:val="22"/>
              </w:rPr>
              <w:t>Tax Withholding (Code F)</w:t>
            </w:r>
          </w:p>
        </w:tc>
        <w:tc>
          <w:tcPr>
            <w:tcW w:type="dxa" w:w="1440"/>
          </w:tcPr>
          <w:p>
            <w:r>
              <w:rPr>
                <w:rFonts w:ascii="Calibri" w:hAnsi="Calibri"/>
                <w:sz w:val="22"/>
              </w:rPr>
              <w:t>8,871 shares disposed</w:t>
            </w:r>
          </w:p>
        </w:tc>
        <w:tc>
          <w:tcPr>
            <w:tcW w:type="dxa" w:w="1440"/>
          </w:tcPr>
          <w:p>
            <w:r>
              <w:rPr>
                <w:rFonts w:ascii="Calibri" w:hAnsi="Calibri"/>
                <w:sz w:val="22"/>
              </w:rPr>
              <w:t>Jul 29, 2026</w:t>
            </w:r>
          </w:p>
        </w:tc>
        <w:tc>
          <w:tcPr>
            <w:tcW w:type="dxa" w:w="1440"/>
          </w:tcPr>
          <w:p>
            <w:r>
              <w:rPr>
                <w:rFonts w:ascii="Calibri" w:hAnsi="Calibri"/>
                <w:sz w:val="22"/>
              </w:rPr>
              <w:t>Obligation-driven; shares withheld to cover tax on vesting RSUs. Not a discretionary sale.</w:t>
            </w:r>
          </w:p>
        </w:tc>
      </w:tr>
      <w:tr>
        <w:tc>
          <w:tcPr>
            <w:tcW w:type="dxa" w:w="1440"/>
          </w:tcPr>
          <w:p>
            <w:r>
              <w:rPr>
                <w:rFonts w:ascii="Calibri" w:hAnsi="Calibri"/>
                <w:sz w:val="22"/>
              </w:rPr>
              <w:t>Cameron M. Bready</w:t>
            </w:r>
          </w:p>
        </w:tc>
        <w:tc>
          <w:tcPr>
            <w:tcW w:type="dxa" w:w="1440"/>
          </w:tcPr>
          <w:p>
            <w:r>
              <w:rPr>
                <w:rFonts w:ascii="Calibri" w:hAnsi="Calibri"/>
                <w:sz w:val="22"/>
              </w:rPr>
              <w:t>CEO &amp; Director</w:t>
            </w:r>
          </w:p>
        </w:tc>
        <w:tc>
          <w:tcPr>
            <w:tcW w:type="dxa" w:w="1440"/>
          </w:tcPr>
          <w:p>
            <w:r>
              <w:rPr>
                <w:rFonts w:ascii="Calibri" w:hAnsi="Calibri"/>
                <w:sz w:val="22"/>
              </w:rPr>
              <w:t>Option Exercise (Code M — Acquire)</w:t>
            </w:r>
          </w:p>
        </w:tc>
        <w:tc>
          <w:tcPr>
            <w:tcW w:type="dxa" w:w="1440"/>
          </w:tcPr>
          <w:p>
            <w:r>
              <w:rPr>
                <w:rFonts w:ascii="Calibri" w:hAnsi="Calibri"/>
                <w:sz w:val="22"/>
              </w:rPr>
              <w:t>9,703 shares acquired</w:t>
            </w:r>
          </w:p>
        </w:tc>
        <w:tc>
          <w:tcPr>
            <w:tcW w:type="dxa" w:w="1440"/>
          </w:tcPr>
          <w:p>
            <w:r>
              <w:rPr>
                <w:rFonts w:ascii="Calibri" w:hAnsi="Calibri"/>
                <w:sz w:val="22"/>
              </w:rPr>
              <w:t>Jul 29, 2026</w:t>
            </w:r>
          </w:p>
        </w:tc>
        <w:tc>
          <w:tcPr>
            <w:tcW w:type="dxa" w:w="1440"/>
          </w:tcPr>
          <w:p>
            <w:r>
              <w:rPr>
                <w:rFonts w:ascii="Calibri" w:hAnsi="Calibri"/>
                <w:sz w:val="22"/>
              </w:rPr>
              <w:t>Exercise of non-qualified stock option; paired with tax withholding disposal below.</w:t>
            </w:r>
          </w:p>
        </w:tc>
      </w:tr>
      <w:tr>
        <w:tc>
          <w:tcPr>
            <w:tcW w:type="dxa" w:w="1440"/>
          </w:tcPr>
          <w:p>
            <w:r>
              <w:rPr>
                <w:rFonts w:ascii="Calibri" w:hAnsi="Calibri"/>
                <w:sz w:val="22"/>
              </w:rPr>
              <w:t>Cameron M. Bready</w:t>
            </w:r>
          </w:p>
        </w:tc>
        <w:tc>
          <w:tcPr>
            <w:tcW w:type="dxa" w:w="1440"/>
          </w:tcPr>
          <w:p>
            <w:r>
              <w:rPr>
                <w:rFonts w:ascii="Calibri" w:hAnsi="Calibri"/>
                <w:sz w:val="22"/>
              </w:rPr>
              <w:t>CEO &amp; Director</w:t>
            </w:r>
          </w:p>
        </w:tc>
        <w:tc>
          <w:tcPr>
            <w:tcW w:type="dxa" w:w="1440"/>
          </w:tcPr>
          <w:p>
            <w:r>
              <w:rPr>
                <w:rFonts w:ascii="Calibri" w:hAnsi="Calibri"/>
                <w:sz w:val="22"/>
              </w:rPr>
              <w:t>Tax Withholding (Code F)</w:t>
            </w:r>
          </w:p>
        </w:tc>
        <w:tc>
          <w:tcPr>
            <w:tcW w:type="dxa" w:w="1440"/>
          </w:tcPr>
          <w:p>
            <w:r>
              <w:rPr>
                <w:rFonts w:ascii="Calibri" w:hAnsi="Calibri"/>
                <w:sz w:val="22"/>
              </w:rPr>
              <w:t>2,297 shares disposed</w:t>
            </w:r>
          </w:p>
        </w:tc>
        <w:tc>
          <w:tcPr>
            <w:tcW w:type="dxa" w:w="1440"/>
          </w:tcPr>
          <w:p>
            <w:r>
              <w:rPr>
                <w:rFonts w:ascii="Calibri" w:hAnsi="Calibri"/>
                <w:sz w:val="22"/>
              </w:rPr>
              <w:t>Jun 1, 2026</w:t>
            </w:r>
          </w:p>
        </w:tc>
        <w:tc>
          <w:tcPr>
            <w:tcW w:type="dxa" w:w="1440"/>
          </w:tcPr>
          <w:p>
            <w:r>
              <w:rPr>
                <w:rFonts w:ascii="Calibri" w:hAnsi="Calibri"/>
                <w:sz w:val="22"/>
              </w:rPr>
              <w:t>Obligation-driven; shares withheld to cover tax on vesting RSUs. Not a discretionary sale.</w:t>
            </w:r>
          </w:p>
        </w:tc>
      </w:tr>
      <w:tr>
        <w:tc>
          <w:tcPr>
            <w:tcW w:type="dxa" w:w="1440"/>
          </w:tcPr>
          <w:p>
            <w:r>
              <w:rPr>
                <w:rFonts w:ascii="Calibri" w:hAnsi="Calibri"/>
                <w:sz w:val="22"/>
              </w:rPr>
              <w:t>Dara L. Steele-Belkin</w:t>
            </w:r>
          </w:p>
        </w:tc>
        <w:tc>
          <w:tcPr>
            <w:tcW w:type="dxa" w:w="1440"/>
          </w:tcPr>
          <w:p>
            <w:r>
              <w:rPr>
                <w:rFonts w:ascii="Calibri" w:hAnsi="Calibri"/>
                <w:sz w:val="22"/>
              </w:rPr>
              <w:t>Chief Legal Officer</w:t>
            </w:r>
          </w:p>
        </w:tc>
        <w:tc>
          <w:tcPr>
            <w:tcW w:type="dxa" w:w="1440"/>
          </w:tcPr>
          <w:p>
            <w:r>
              <w:rPr>
                <w:rFonts w:ascii="Calibri" w:hAnsi="Calibri"/>
                <w:sz w:val="22"/>
              </w:rPr>
              <w:t>Tax Withholding (Code F)</w:t>
            </w:r>
          </w:p>
        </w:tc>
        <w:tc>
          <w:tcPr>
            <w:tcW w:type="dxa" w:w="1440"/>
          </w:tcPr>
          <w:p>
            <w:r>
              <w:rPr>
                <w:rFonts w:ascii="Calibri" w:hAnsi="Calibri"/>
                <w:sz w:val="22"/>
              </w:rPr>
              <w:t>2,254 shares disposed</w:t>
            </w:r>
          </w:p>
        </w:tc>
        <w:tc>
          <w:tcPr>
            <w:tcW w:type="dxa" w:w="1440"/>
          </w:tcPr>
          <w:p>
            <w:r>
              <w:rPr>
                <w:rFonts w:ascii="Calibri" w:hAnsi="Calibri"/>
                <w:sz w:val="22"/>
              </w:rPr>
              <w:t>Jun 1, 2026</w:t>
            </w:r>
          </w:p>
        </w:tc>
        <w:tc>
          <w:tcPr>
            <w:tcW w:type="dxa" w:w="1440"/>
          </w:tcPr>
          <w:p>
            <w:r>
              <w:rPr>
                <w:rFonts w:ascii="Calibri" w:hAnsi="Calibri"/>
                <w:sz w:val="22"/>
              </w:rPr>
              <w:t>Obligation-driven; shares withheld to cover tax on vesting RSUs. Not a discretionary sale.</w:t>
            </w:r>
          </w:p>
        </w:tc>
      </w:tr>
    </w:tbl>
    <w:p>
      <w:r>
        <w:rPr>
          <w:rFonts w:ascii="Calibri" w:hAnsi="Calibri"/>
          <w:i/>
          <w:color w:val="525866"/>
          <w:sz w:val="22"/>
        </w:rPr>
        <w:t xml:space="preserve">Source: Insider Transaction Data (Form 4 filings). </w:t>
      </w:r>
      <w:r>
        <w:rPr>
          <w:rFonts w:ascii="Calibri" w:hAnsi="Calibri"/>
          <w:color w:val="525866"/>
          <w:sz w:val="22"/>
        </w:rPr>
        <w:t>All transactions since Q1 earnings are obligation-driven (tax withholding on RSU vesting or option exercises) — none are open-market buys (Code P) or discretionary sells (Code S). No 10b5-1 plan initiations were filed in the period. The CEO’s net position after the July 29 transactions stands at 432,790 shares.</w:t>
      </w:r>
    </w:p>
    <w:p>
      <w:r>
        <w:br w:type="page"/>
      </w:r>
    </w:p>
    <w:p>
      <w:pPr>
        <w:pStyle w:val="Heading2"/>
      </w:pPr>
      <w:r>
        <w:rPr>
          <w:rFonts w:ascii="Calibri" w:hAnsi="Calibri"/>
          <w:b/>
          <w:color w:val="3B4259"/>
          <w:sz w:val="28"/>
        </w:rPr>
        <w:t>8. Peer Commentaries — Read-Through for Q2 2026</w:t>
      </w:r>
    </w:p>
    <w:p>
      <w:r>
        <w:rPr>
          <w:rFonts w:ascii="Calibri" w:hAnsi="Calibri"/>
          <w:b/>
          <w:color w:val="525866"/>
          <w:sz w:val="22"/>
        </w:rPr>
        <w:t xml:space="preserve">Key Takeaway: </w:t>
      </w:r>
      <w:r>
        <w:rPr>
          <w:rFonts w:ascii="Calibri" w:hAnsi="Calibri"/>
          <w:color w:val="525866"/>
          <w:sz w:val="22"/>
        </w:rPr>
        <w:t>Peer commentary from Q2 2026 reporters is broadly constructive for GPN — Mastercard, Visa, and American Express all reported strong consumer spending with no evidence of macro deterioration, the Middle East travel headwind is described as “lower than anticipated” by Mastercard and “consistent” by Visa, and Fiserv’s Investor Day and Bernstein commentary confirm healthy SMB payment volumes and secular growth in digital payments. The read-through is net positive for GPN’s Q2 print.</w:t>
      </w:r>
    </w:p>
    <w:p>
      <w:pPr>
        <w:pStyle w:val="Heading3"/>
      </w:pPr>
      <w:r>
        <w:rPr>
          <w:rFonts w:ascii="Calibri" w:hAnsi="Calibri"/>
          <w:b/>
          <w:color w:val="3B4259"/>
          <w:sz w:val="24"/>
        </w:rPr>
        <w:t>8.1 Mastercard (MA) — Q2 2026 Earnings (Reported July 30, 2026)</w:t>
      </w:r>
    </w:p>
    <w:p>
      <w:r>
        <w:rPr>
          <w:rFonts w:ascii="Calibri" w:hAnsi="Calibri"/>
          <w:b/>
          <w:color w:val="525866"/>
          <w:sz w:val="22"/>
        </w:rPr>
        <w:t xml:space="preserve">Read-Through Relevance: </w:t>
      </w:r>
      <w:r>
        <w:rPr>
          <w:rFonts w:ascii="Calibri" w:hAnsi="Calibri"/>
          <w:color w:val="525866"/>
          <w:sz w:val="22"/>
        </w:rPr>
        <w:t>High. Mastercard’s Q2 2026 results are the most direct read-through for GPN’s consumer spending volumes, cross-border travel trends, and Middle East headwind quantification.</w:t>
      </w:r>
    </w:p>
    <w:p>
      <w:pPr>
        <w:pStyle w:val="ListBullet"/>
        <w:ind w:left="360" w:hanging="360"/>
      </w:pPr>
      <w:r>
        <w:rPr>
          <w:rFonts w:ascii="Calibri" w:hAnsi="Calibri"/>
          <w:b/>
          <w:color w:val="525866"/>
          <w:sz w:val="22"/>
        </w:rPr>
        <w:t xml:space="preserve">Consumer spending remains robust: </w:t>
      </w:r>
      <w:r>
        <w:rPr>
          <w:rFonts w:ascii="Calibri" w:hAnsi="Calibri"/>
          <w:color w:val="525866"/>
          <w:sz w:val="22"/>
        </w:rPr>
        <w:t xml:space="preserve">Mastercard reported Q2 2026 net revenues up 12% YoY on a non-GAAP currency-neutral basis, with worldwide GDV up 8% in local currency. Spending was described as “broad-based” with consumers and businesses “healthy and continuing to spend,” backed by positive job growth, low unemployment, and real purchasing power. </w:t>
      </w:r>
    </w:p>
    <w:p>
      <w:pPr>
        <w:pStyle w:val="ListBullet"/>
        <w:ind w:left="360" w:hanging="360"/>
      </w:pPr>
      <w:r>
        <w:rPr>
          <w:rFonts w:ascii="Calibri" w:hAnsi="Calibri"/>
          <w:b/>
          <w:color w:val="525866"/>
          <w:sz w:val="22"/>
        </w:rPr>
        <w:t xml:space="preserve">Middle East headwind was lower than anticipated: </w:t>
      </w:r>
      <w:r>
        <w:rPr>
          <w:rFonts w:ascii="Calibri" w:hAnsi="Calibri"/>
          <w:color w:val="525866"/>
          <w:sz w:val="22"/>
        </w:rPr>
        <w:t xml:space="preserve">Mastercard explicitly cited “lower than anticipated impact from the challenges in the Middle East” as a key driver of the Q2 upside. This is a direct positive read-through for GPN, which guided for up to 100 bps of Q2 revenue headwind from Middle East airline volume disruptions — if the headwind is materializing at the lower end of the range, GPN’s Q2 revenue could come in above the embedded consensus. </w:t>
      </w:r>
    </w:p>
    <w:p>
      <w:pPr>
        <w:pStyle w:val="ListBullet"/>
        <w:ind w:left="360" w:hanging="360"/>
      </w:pPr>
      <w:r>
        <w:rPr>
          <w:rFonts w:ascii="Calibri" w:hAnsi="Calibri"/>
          <w:b/>
          <w:color w:val="525866"/>
          <w:sz w:val="22"/>
        </w:rPr>
        <w:t xml:space="preserve">Cross-border volumes accelerated: </w:t>
      </w:r>
      <w:r>
        <w:rPr>
          <w:rFonts w:ascii="Calibri" w:hAnsi="Calibri"/>
          <w:color w:val="525866"/>
          <w:sz w:val="22"/>
        </w:rPr>
        <w:t xml:space="preserve">Global cross-border volume grew 12% in Q2, with cross-border card-not-present ex-travel up 20% (benefiting from Venezuela spend and timing of large retail promotional events). Travel-related cross-border volume was up 10%, consistent with Q1. For Q3, Mastercard expects Middle East conflict impacts to “remain at similar levels to what was observed towards the end of Q2” — suggesting the headwind is stabilizing rather than worsening. </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Mastercard raised its FY 2026 net revenue growth guidance to the “high end of the low double-digits range” on a currency-neutral basis, driven by stronger-than-expected H1 performance. This signals broad payment ecosystem health that is constructive for GPN’s back-half acceleration thesis. </w:t>
      </w:r>
    </w:p>
    <w:p>
      <w:pPr>
        <w:pStyle w:val="ListBullet"/>
        <w:ind w:left="360" w:hanging="360"/>
      </w:pPr>
      <w:r>
        <w:rPr>
          <w:rFonts w:ascii="Calibri" w:hAnsi="Calibri"/>
          <w:b/>
          <w:color w:val="525866"/>
          <w:sz w:val="22"/>
        </w:rPr>
        <w:t xml:space="preserve">Agentic commerce opportunity confirmed: </w:t>
      </w:r>
      <w:r>
        <w:rPr>
          <w:rFonts w:ascii="Calibri" w:hAnsi="Calibri"/>
          <w:color w:val="525866"/>
          <w:sz w:val="22"/>
        </w:rPr>
        <w:t xml:space="preserve">Mastercard highlighted agentic commerce as a significant incremental opportunity, with Agent Pay enabling secure transactions across its global acceptance network. This validates GPN’s own agentic commerce strategy (payments model context protocol live and production-ready; activating enterprise merchants into Google’s UCP protocol). </w:t>
      </w:r>
    </w:p>
    <w:p>
      <w:pPr>
        <w:pStyle w:val="Heading3"/>
      </w:pPr>
      <w:r>
        <w:rPr>
          <w:rFonts w:ascii="Calibri" w:hAnsi="Calibri"/>
          <w:b/>
          <w:color w:val="3B4259"/>
          <w:sz w:val="24"/>
        </w:rPr>
        <w:t>8.2 Visa (V) — Fiscal Q3 2026 Earnings (Reported July 28, 2026)</w:t>
      </w:r>
    </w:p>
    <w:p>
      <w:r>
        <w:rPr>
          <w:rFonts w:ascii="Calibri" w:hAnsi="Calibri"/>
          <w:b/>
          <w:color w:val="525866"/>
          <w:sz w:val="22"/>
        </w:rPr>
        <w:t xml:space="preserve">Read-Through Relevance: </w:t>
      </w:r>
      <w:r>
        <w:rPr>
          <w:rFonts w:ascii="Calibri" w:hAnsi="Calibri"/>
          <w:color w:val="525866"/>
          <w:sz w:val="22"/>
        </w:rPr>
        <w:t>High. Visa’s fiscal Q3 2026 (calendar Q2 2026) results provide the most current read on U.S. and global consumer spending trends, travel volumes, and e-commerce growth heading into GPN’s Q2 print.</w:t>
      </w:r>
    </w:p>
    <w:p>
      <w:pPr>
        <w:pStyle w:val="ListBullet"/>
        <w:ind w:left="360" w:hanging="360"/>
      </w:pPr>
      <w:r>
        <w:rPr>
          <w:rFonts w:ascii="Calibri" w:hAnsi="Calibri"/>
          <w:b/>
          <w:color w:val="525866"/>
          <w:sz w:val="22"/>
        </w:rPr>
        <w:t xml:space="preserve">Consumer spending “strong and resilient”: </w:t>
      </w:r>
      <w:r>
        <w:rPr>
          <w:rFonts w:ascii="Calibri" w:hAnsi="Calibri"/>
          <w:color w:val="525866"/>
          <w:sz w:val="22"/>
        </w:rPr>
        <w:t xml:space="preserve">Visa reported fiscal Q3 net revenue up 14% YoY to $11.6B, beating expectations. Global payments volume grew 10% in constant dollars, crossing $4 trillion for the first time in Visa’s history. U.S. payment volume grew 10% YoY, “a growth rate not seen since fiscal 2019,” with both discretionary and non-discretionary spend remaining strong. No signs of weakening among lower-spend consumers. </w:t>
      </w:r>
    </w:p>
    <w:p>
      <w:pPr>
        <w:pStyle w:val="ListBullet"/>
        <w:ind w:left="360" w:hanging="360"/>
      </w:pPr>
      <w:r>
        <w:rPr>
          <w:rFonts w:ascii="Calibri" w:hAnsi="Calibri"/>
          <w:b/>
          <w:color w:val="525866"/>
          <w:sz w:val="22"/>
        </w:rPr>
        <w:t xml:space="preserve">Travel volumes stable; Middle East headwind consistent: </w:t>
      </w:r>
      <w:r>
        <w:rPr>
          <w:rFonts w:ascii="Calibri" w:hAnsi="Calibri"/>
          <w:color w:val="525866"/>
          <w:sz w:val="22"/>
        </w:rPr>
        <w:t xml:space="preserve">Travel-related cross-border volume was up 10%, “consistent with Q2,” with the Middle East conflict described as “an offsetting factor.” Importantly, Visa noted that commercial and U.S. inbound volumes “continued to improve,” and the FIFA World Cup boosted inbound North America and Latin America volume in June. This is consistent with GPN’s assumption that travel normalizes by end of Q2. </w:t>
      </w:r>
    </w:p>
    <w:p>
      <w:pPr>
        <w:pStyle w:val="ListBullet"/>
        <w:ind w:left="360" w:hanging="360"/>
      </w:pPr>
      <w:r>
        <w:rPr>
          <w:rFonts w:ascii="Calibri" w:hAnsi="Calibri"/>
          <w:b/>
          <w:color w:val="525866"/>
          <w:sz w:val="22"/>
        </w:rPr>
        <w:t xml:space="preserve">July 2026 trends (current quarter for GPN): </w:t>
      </w:r>
      <w:r>
        <w:rPr>
          <w:rFonts w:ascii="Calibri" w:hAnsi="Calibri"/>
          <w:color w:val="525866"/>
          <w:sz w:val="22"/>
        </w:rPr>
        <w:t xml:space="preserve">As of July 21, U.S. payments volume was up 9% YoY, with cross-border volume (ex-Intra-Europe) up 14%, e-commerce up 18%, and travel up 12%. Visa noted July is “a step down from June” primarily due to timing of retail promotional events and fuel costs — not macro deterioration. This is a constructive read for GPN’s Q3 2026 setup. </w:t>
      </w:r>
    </w:p>
    <w:p>
      <w:pPr>
        <w:pStyle w:val="ListBullet"/>
        <w:ind w:left="360" w:hanging="360"/>
      </w:pPr>
      <w:r>
        <w:rPr>
          <w:rFonts w:ascii="Calibri" w:hAnsi="Calibri"/>
          <w:b/>
          <w:color w:val="525866"/>
          <w:sz w:val="22"/>
        </w:rPr>
        <w:t xml:space="preserve">E-commerce acceleration: </w:t>
      </w:r>
      <w:r>
        <w:rPr>
          <w:rFonts w:ascii="Calibri" w:hAnsi="Calibri"/>
          <w:color w:val="525866"/>
          <w:sz w:val="22"/>
        </w:rPr>
        <w:t xml:space="preserve">Cross-border e-commerce volume was up 16% in fiscal Q3, three points above Q2, driven by retail promotional event timing. Tokenized penetration nearing 60% of Visa’s e-commerce transactions globally. This validates GPN’s post-Worldpay e-commerce positioning and the growth opportunity in the combined entity’s e-commerce capabilities. </w:t>
      </w:r>
    </w:p>
    <w:p>
      <w:pPr>
        <w:pStyle w:val="ListBullet"/>
        <w:ind w:left="360" w:hanging="360"/>
      </w:pPr>
      <w:r>
        <w:rPr>
          <w:rFonts w:ascii="Calibri" w:hAnsi="Calibri"/>
          <w:b/>
          <w:color w:val="525866"/>
          <w:sz w:val="22"/>
        </w:rPr>
        <w:t xml:space="preserve">Q4 FY2026 (calendar Q3 2026) outlook: </w:t>
      </w:r>
      <w:r>
        <w:rPr>
          <w:rFonts w:ascii="Calibri" w:hAnsi="Calibri"/>
          <w:color w:val="525866"/>
          <w:sz w:val="22"/>
        </w:rPr>
        <w:t xml:space="preserve">Visa guided for Q4 net revenue growth at the “high end of low double digits, similar to Q3,” assuming continued consumer spend stability. This forward-looking confidence is a positive read-through for GPN’s back-half acceleration thesis. </w:t>
      </w:r>
    </w:p>
    <w:p>
      <w:pPr>
        <w:pStyle w:val="Heading3"/>
      </w:pPr>
      <w:r>
        <w:rPr>
          <w:rFonts w:ascii="Calibri" w:hAnsi="Calibri"/>
          <w:b/>
          <w:color w:val="3B4259"/>
          <w:sz w:val="24"/>
        </w:rPr>
        <w:t>8.3 American Express (AXP) — Q2 2026 Earnings (Reported July 24, 2026)</w:t>
      </w:r>
    </w:p>
    <w:p>
      <w:r>
        <w:rPr>
          <w:rFonts w:ascii="Calibri" w:hAnsi="Calibri"/>
          <w:b/>
          <w:color w:val="525866"/>
          <w:sz w:val="22"/>
        </w:rPr>
        <w:t xml:space="preserve">Read-Through Relevance: </w:t>
      </w:r>
      <w:r>
        <w:rPr>
          <w:rFonts w:ascii="Calibri" w:hAnsi="Calibri"/>
          <w:color w:val="525866"/>
          <w:sz w:val="22"/>
        </w:rPr>
        <w:t>Moderate-High. AXP’s Q2 2026 results provide read-through on premium consumer spending, travel &amp; entertainment trends, restaurant spending, and the macro environment — all relevant to GPN’s merchant acquiring business.</w:t>
      </w:r>
    </w:p>
    <w:p>
      <w:pPr>
        <w:pStyle w:val="ListBullet"/>
        <w:ind w:left="360" w:hanging="360"/>
      </w:pPr>
      <w:r>
        <w:rPr>
          <w:rFonts w:ascii="Calibri" w:hAnsi="Calibri"/>
          <w:b/>
          <w:color w:val="525866"/>
          <w:sz w:val="22"/>
        </w:rPr>
        <w:t xml:space="preserve">Exceptional consumer spending: </w:t>
      </w:r>
      <w:r>
        <w:rPr>
          <w:rFonts w:ascii="Calibri" w:hAnsi="Calibri"/>
          <w:color w:val="525866"/>
          <w:sz w:val="22"/>
        </w:rPr>
        <w:t xml:space="preserve">AXP reported Q2 2026 revenue growth of 10% and EPS of $4.53, raising full-year revenue guidance to 10%. Overall billed business was up 9.4% FX-adjusted, with U.S. consumer spending up 11% — “the highest level of growth since Q1 2018, excluding periods impacted by the pandemic.” This is a strong positive read-through for GPN’s U.S. merchant acquiring volumes. </w:t>
      </w:r>
    </w:p>
    <w:p>
      <w:pPr>
        <w:pStyle w:val="ListBullet"/>
        <w:ind w:left="360" w:hanging="360"/>
      </w:pPr>
      <w:r>
        <w:rPr>
          <w:rFonts w:ascii="Calibri" w:hAnsi="Calibri"/>
          <w:b/>
          <w:color w:val="525866"/>
          <w:sz w:val="22"/>
        </w:rPr>
        <w:t xml:space="preserve">Travel &amp; entertainment accelerating: </w:t>
      </w:r>
      <w:r>
        <w:rPr>
          <w:rFonts w:ascii="Calibri" w:hAnsi="Calibri"/>
          <w:color w:val="525866"/>
          <w:sz w:val="22"/>
        </w:rPr>
        <w:t xml:space="preserve">T&amp;E spending was up 10%, with airline spending up 10% YoY — “the highest number we’ve seen in the last 6 quarters.” Global Amex travel bookings were up 22% YoY. Restaurant spending was up 10%, with Resy restaurant spend growing at double that rate. This is directly constructive for GPN, which serves major airlines and restaurant chains (CKE Restaurants, Bojangles, KFC, Pizza Hut). </w:t>
      </w:r>
    </w:p>
    <w:p>
      <w:pPr>
        <w:pStyle w:val="ListBullet"/>
        <w:ind w:left="360" w:hanging="360"/>
      </w:pPr>
      <w:r>
        <w:rPr>
          <w:rFonts w:ascii="Calibri" w:hAnsi="Calibri"/>
          <w:b/>
          <w:color w:val="525866"/>
          <w:sz w:val="22"/>
        </w:rPr>
        <w:t xml:space="preserve">Retail spending very strong: </w:t>
      </w:r>
      <w:r>
        <w:rPr>
          <w:rFonts w:ascii="Calibri" w:hAnsi="Calibri"/>
          <w:color w:val="525866"/>
          <w:sz w:val="22"/>
        </w:rPr>
        <w:t xml:space="preserve">Retail spending was up 13% FX-adjusted in Q2. This is a positive read-through for GPN’s retail merchant acquiring volumes, including recent wins like Abercrombie &amp; Fitch, ALDI SUD, Decathlon, and Lidl. </w:t>
      </w:r>
    </w:p>
    <w:p>
      <w:pPr>
        <w:pStyle w:val="ListBullet"/>
        <w:ind w:left="360" w:hanging="360"/>
      </w:pPr>
      <w:r>
        <w:rPr>
          <w:rFonts w:ascii="Calibri" w:hAnsi="Calibri"/>
          <w:b/>
          <w:color w:val="525866"/>
          <w:sz w:val="22"/>
        </w:rPr>
        <w:t xml:space="preserve">No evidence of macro slowdown: </w:t>
      </w:r>
      <w:r>
        <w:rPr>
          <w:rFonts w:ascii="Calibri" w:hAnsi="Calibri"/>
          <w:color w:val="525866"/>
          <w:sz w:val="22"/>
        </w:rPr>
        <w:t xml:space="preserve">AXP management stated “there is no evidence of a general slowdown” at the macro level, with customers offsetting any Middle East-related travel impacts with spending in other categories. Credit performance remains “very strong,” with delinquency and write-off rates below 2019 levels. </w:t>
      </w:r>
    </w:p>
    <w:p>
      <w:pPr>
        <w:pStyle w:val="ListBullet"/>
        <w:ind w:left="360" w:hanging="360"/>
      </w:pPr>
      <w:r>
        <w:rPr>
          <w:rFonts w:ascii="Calibri" w:hAnsi="Calibri"/>
          <w:b/>
          <w:color w:val="525866"/>
          <w:sz w:val="22"/>
        </w:rPr>
        <w:t xml:space="preserve">Commercial spending picking up: </w:t>
      </w:r>
      <w:r>
        <w:rPr>
          <w:rFonts w:ascii="Calibri" w:hAnsi="Calibri"/>
          <w:color w:val="525866"/>
          <w:sz w:val="22"/>
        </w:rPr>
        <w:t xml:space="preserve">Commercial spending accelerated to 5% growth, with both U.S. SME and large global customers growing at the same pace. This is a modest positive read-through for GPN’s enterprise and SMB merchant segments. </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AXP raised FY 2026 revenue growth guidance to 10% (from prior range), while maintaining EPS guidance of $17.30–$17.90. The decision to invest the revenue outperformance rather than drop it to the bottom line signals confidence in the durability of the growth environment. </w:t>
      </w:r>
    </w:p>
    <w:p>
      <w:pPr>
        <w:pStyle w:val="Heading3"/>
      </w:pPr>
      <w:r>
        <w:rPr>
          <w:rFonts w:ascii="Calibri" w:hAnsi="Calibri"/>
          <w:b/>
          <w:color w:val="3B4259"/>
          <w:sz w:val="24"/>
        </w:rPr>
        <w:t>8.4 PayPal (PYPL) — Q2 2026 Earnings (Reported July 28, 2026)</w:t>
      </w:r>
    </w:p>
    <w:p>
      <w:r>
        <w:rPr>
          <w:rFonts w:ascii="Calibri" w:hAnsi="Calibri"/>
          <w:b/>
          <w:color w:val="525866"/>
          <w:sz w:val="22"/>
        </w:rPr>
        <w:t xml:space="preserve">Read-Through Relevance: </w:t>
      </w:r>
      <w:r>
        <w:rPr>
          <w:rFonts w:ascii="Calibri" w:hAnsi="Calibri"/>
          <w:color w:val="525866"/>
          <w:sz w:val="22"/>
        </w:rPr>
        <w:t>Moderate. PayPal’s Q2 2026 results provide read-through on e-commerce payment volumes, branded checkout trends, and the competitive dynamics in digital payments — relevant to GPN’s Worldpay e-commerce business.</w:t>
      </w:r>
    </w:p>
    <w:p>
      <w:pPr>
        <w:pStyle w:val="ListBullet"/>
        <w:ind w:left="360" w:hanging="360"/>
      </w:pPr>
      <w:r>
        <w:rPr>
          <w:rFonts w:ascii="Calibri" w:hAnsi="Calibri"/>
          <w:b/>
          <w:color w:val="525866"/>
          <w:sz w:val="22"/>
        </w:rPr>
        <w:t xml:space="preserve">E-commerce volumes stabilizing and accelerating: </w:t>
      </w:r>
      <w:r>
        <w:rPr>
          <w:rFonts w:ascii="Calibri" w:hAnsi="Calibri"/>
          <w:color w:val="525866"/>
          <w:sz w:val="22"/>
        </w:rPr>
        <w:t xml:space="preserve">PayPal reported Q2 2026 Total Payment Volume of $486B, accelerating to 9% currency-neutral growth. Branded checkout TPV grew 2% on a currency-neutral basis (consistent with Q1), while branded experiences TPV (including Venmo Debit and Tap to Pay) grew 6%, up from 5% in Q1 and 4% in Q4 2025. Venmo TPV grew 14% YoY for the seventh consecutive quarter of double-digit growth. </w:t>
      </w:r>
    </w:p>
    <w:p>
      <w:pPr>
        <w:pStyle w:val="ListBullet"/>
        <w:ind w:left="360" w:hanging="360"/>
      </w:pPr>
      <w:r>
        <w:rPr>
          <w:rFonts w:ascii="Calibri" w:hAnsi="Calibri"/>
          <w:b/>
          <w:color w:val="525866"/>
          <w:sz w:val="22"/>
        </w:rPr>
        <w:t xml:space="preserve">Travel vertical saw early-quarter pressure that moderated: </w:t>
      </w:r>
      <w:r>
        <w:rPr>
          <w:rFonts w:ascii="Calibri" w:hAnsi="Calibri"/>
          <w:color w:val="525866"/>
          <w:sz w:val="22"/>
        </w:rPr>
        <w:t xml:space="preserve">PayPal noted “some pressure in the travel vertical that was earlier in the quarter, and that tended to moderate as we went through the quarter.” This is consistent with GPN’s Middle East travel headwind narrative and supports the view that the headwind is transient and moderating. </w:t>
      </w:r>
    </w:p>
    <w:p>
      <w:pPr>
        <w:pStyle w:val="ListBullet"/>
        <w:ind w:left="360" w:hanging="360"/>
      </w:pPr>
      <w:r>
        <w:rPr>
          <w:rFonts w:ascii="Calibri" w:hAnsi="Calibri"/>
          <w:b/>
          <w:color w:val="525866"/>
          <w:sz w:val="22"/>
        </w:rPr>
        <w:t xml:space="preserve">Braintree (PSP) accelerating: </w:t>
      </w:r>
      <w:r>
        <w:rPr>
          <w:rFonts w:ascii="Calibri" w:hAnsi="Calibri"/>
          <w:color w:val="525866"/>
          <w:sz w:val="22"/>
        </w:rPr>
        <w:t xml:space="preserve">PSP volume growth accelerated to 13% from 11% in Q1 and 7% in H2 2025, with Braintree delivering profitable growth for nine consecutive quarters. This is a read-through for GPN’s Worldpay e-commerce business, which competes directly with Braintree in the enterprise e-commerce acquiring space. </w:t>
      </w:r>
    </w:p>
    <w:p>
      <w:pPr>
        <w:pStyle w:val="ListBullet"/>
        <w:ind w:left="360" w:hanging="360"/>
      </w:pPr>
      <w:r>
        <w:rPr>
          <w:rFonts w:ascii="Calibri" w:hAnsi="Calibri"/>
          <w:b/>
          <w:color w:val="525866"/>
          <w:sz w:val="22"/>
        </w:rPr>
        <w:t xml:space="preserve">Full-year guidance raised: </w:t>
      </w:r>
      <w:r>
        <w:rPr>
          <w:rFonts w:ascii="Calibri" w:hAnsi="Calibri"/>
          <w:color w:val="525866"/>
          <w:sz w:val="22"/>
        </w:rPr>
        <w:t xml:space="preserve">PayPal raised FY 2026 guidance for transaction margin dollars and non-GAAP EPS, and raised online branded checkout TPV growth expectation to the low single-digit range. The company cited Q2 performance giving “confidence as we move into the second half of the year.” </w:t>
      </w:r>
    </w:p>
    <w:p>
      <w:pPr>
        <w:pStyle w:val="ListBullet"/>
        <w:ind w:left="360" w:hanging="360"/>
      </w:pPr>
      <w:r>
        <w:rPr>
          <w:rFonts w:ascii="Calibri" w:hAnsi="Calibri"/>
          <w:b/>
          <w:color w:val="525866"/>
          <w:sz w:val="22"/>
        </w:rPr>
        <w:t xml:space="preserve">Competitive intensity in Europe noted: </w:t>
      </w:r>
      <w:r>
        <w:rPr>
          <w:rFonts w:ascii="Calibri" w:hAnsi="Calibri"/>
          <w:color w:val="525866"/>
          <w:sz w:val="22"/>
        </w:rPr>
        <w:t xml:space="preserve">PayPal acknowledged increased competitive intensity in European e-commerce markets, which is relevant context for GPN’s Worldpay European e-commerce business. GPN’s differentiation through open architecture, modular value-added services, and superior authorization rates positions it well against this competitive backdrop. </w:t>
      </w:r>
    </w:p>
    <w:p>
      <w:pPr>
        <w:pStyle w:val="Heading3"/>
      </w:pPr>
      <w:r>
        <w:rPr>
          <w:rFonts w:ascii="Calibri" w:hAnsi="Calibri"/>
          <w:b/>
          <w:color w:val="3B4259"/>
          <w:sz w:val="24"/>
        </w:rPr>
        <w:t>8.5 Fiserv (FISV) — Investor Day (May 14, 2026) &amp; Bernstein Conference (May 28, 2026)</w:t>
      </w:r>
    </w:p>
    <w:p>
      <w:r>
        <w:rPr>
          <w:rFonts w:ascii="Calibri" w:hAnsi="Calibri"/>
          <w:b/>
          <w:color w:val="525866"/>
          <w:sz w:val="22"/>
        </w:rPr>
        <w:t xml:space="preserve">Read-Through Relevance: </w:t>
      </w:r>
      <w:r>
        <w:rPr>
          <w:rFonts w:ascii="Calibri" w:hAnsi="Calibri"/>
          <w:color w:val="525866"/>
          <w:sz w:val="22"/>
        </w:rPr>
        <w:t>Moderate. Fiserv is GPN’s closest direct competitor in SMB merchant acquiring (Clover vs. Genius) and enterprise payments. Fiserv’s Investor Day and Bernstein commentary provide competitive context and SMB market health read-through.</w:t>
      </w:r>
    </w:p>
    <w:p>
      <w:pPr>
        <w:pStyle w:val="ListBullet"/>
        <w:ind w:left="360" w:hanging="360"/>
      </w:pPr>
      <w:r>
        <w:rPr>
          <w:rFonts w:ascii="Calibri" w:hAnsi="Calibri"/>
          <w:b/>
          <w:color w:val="525866"/>
          <w:sz w:val="22"/>
        </w:rPr>
        <w:t xml:space="preserve">SMB payment volumes healthy; secular growth intact: </w:t>
      </w:r>
      <w:r>
        <w:rPr>
          <w:rFonts w:ascii="Calibri" w:hAnsi="Calibri"/>
          <w:color w:val="525866"/>
          <w:sz w:val="22"/>
        </w:rPr>
        <w:t xml:space="preserve">Fiserv CEO Frank Bisignano confirmed at Bernstein that “volumes are growing and there’s strong secular change in payments,” with Clover TPV growing consistently at ~10% per quarter since 2022. SMB point-of-sale prices are “rising.” This is a positive read-through for GPN’s Genius platform, which competes directly with Clover in the SMB POS market. </w:t>
      </w:r>
    </w:p>
    <w:p>
      <w:pPr>
        <w:pStyle w:val="ListBullet"/>
        <w:ind w:left="360" w:hanging="360"/>
      </w:pPr>
      <w:r>
        <w:rPr>
          <w:rFonts w:ascii="Calibri" w:hAnsi="Calibri"/>
          <w:b/>
          <w:color w:val="525866"/>
          <w:sz w:val="22"/>
        </w:rPr>
        <w:t xml:space="preserve">Fiserv’s H1 2026 is a transition period (negative read-through for Fiserv, neutral for GPN): </w:t>
      </w:r>
      <w:r>
        <w:rPr>
          <w:rFonts w:ascii="Calibri" w:hAnsi="Calibri"/>
          <w:color w:val="525866"/>
          <w:sz w:val="22"/>
        </w:rPr>
        <w:t xml:space="preserve">Fiserv guided for H1 2026 adjusted revenue to decline in the low single digits, with H2 recovery to +6%–8% needed to hit the full-year 1%–3% guidance. This reflects Fiserv-specific issues (core banking attrition, Project Elevate costs) rather than market-wide weakness — and actually represents a competitive opportunity for GPN’s Genius to take share from Clover during Fiserv’s transition period. </w:t>
      </w:r>
    </w:p>
    <w:p>
      <w:pPr>
        <w:pStyle w:val="ListBullet"/>
        <w:ind w:left="360" w:hanging="360"/>
      </w:pPr>
      <w:r>
        <w:rPr>
          <w:rFonts w:ascii="Calibri" w:hAnsi="Calibri"/>
          <w:b/>
          <w:color w:val="525866"/>
          <w:sz w:val="22"/>
        </w:rPr>
        <w:t xml:space="preserve">Clover targets 10–15% volume growth, 15–20% revenue growth: </w:t>
      </w:r>
      <w:r>
        <w:rPr>
          <w:rFonts w:ascii="Calibri" w:hAnsi="Calibri"/>
          <w:color w:val="525866"/>
          <w:sz w:val="22"/>
        </w:rPr>
        <w:t xml:space="preserve">Fiserv set medium-term Clover targets of 10–15% volume growth and 15–20% revenue growth, driven by VAS penetration, vertical expansion (healthcare and professional services launched March 2026), and international expansion (Brazil, Canada, Japan). This confirms the competitive intensity in the SMB POS market and validates GPN’s aggressive Genius investment thesis. </w:t>
      </w:r>
    </w:p>
    <w:p>
      <w:pPr>
        <w:pStyle w:val="ListBullet"/>
        <w:ind w:left="360" w:hanging="360"/>
      </w:pPr>
      <w:r>
        <w:rPr>
          <w:rFonts w:ascii="Calibri" w:hAnsi="Calibri"/>
          <w:b/>
          <w:color w:val="525866"/>
          <w:sz w:val="22"/>
        </w:rPr>
        <w:t xml:space="preserve">E-commerce market characterized by low barriers to entry and performance-driven competition: </w:t>
      </w:r>
      <w:r>
        <w:rPr>
          <w:rFonts w:ascii="Calibri" w:hAnsi="Calibri"/>
          <w:color w:val="525866"/>
          <w:sz w:val="22"/>
        </w:rPr>
        <w:t xml:space="preserve">Fiserv noted that in e-commerce, “major players want high auth rates and low fraud rates” and “everyone in e-com uses multiple processors and they move volume to where the algorithm suits them best.” This validates GPN’s post-Worldpay e-commerce differentiation strategy centered on authorization optimization, Fraudsight AI fraud prevention, and open architecture. </w:t>
      </w:r>
    </w:p>
    <w:p>
      <w:pPr>
        <w:pStyle w:val="ListBullet"/>
        <w:ind w:left="360" w:hanging="360"/>
      </w:pPr>
      <w:r>
        <w:rPr>
          <w:rFonts w:ascii="Calibri" w:hAnsi="Calibri"/>
          <w:b/>
          <w:color w:val="525866"/>
          <w:sz w:val="22"/>
        </w:rPr>
        <w:t xml:space="preserve">AI initiatives accelerating across the industry: </w:t>
      </w:r>
      <w:r>
        <w:rPr>
          <w:rFonts w:ascii="Calibri" w:hAnsi="Calibri"/>
          <w:color w:val="525866"/>
          <w:sz w:val="22"/>
        </w:rPr>
        <w:t xml:space="preserve">Fiserv announced a formal agreement with Cognition (Devin AI software engineer) on May 28 for financial services modernization, and highlighted AI as enabling “systems of record to become systems of greater value.” This is consistent with GPN’s own AI strategy (Fast Track Studio, Ravelin fraud AI, agentic commerce) and confirms AI is becoming a competitive differentiator across the payments industry. </w:t>
      </w:r>
    </w:p>
    <w:p>
      <w:pPr>
        <w:pStyle w:val="Heading3"/>
      </w:pPr>
      <w:r>
        <w:rPr>
          <w:rFonts w:ascii="Calibri" w:hAnsi="Calibri"/>
          <w:b/>
          <w:color w:val="3B4259"/>
          <w:sz w:val="24"/>
        </w:rPr>
        <w:t>8.6 WEX Inc. (WEX) — Q2 2026 Earnings (Reported July 22–23, 2026)</w:t>
      </w:r>
    </w:p>
    <w:p>
      <w:r>
        <w:rPr>
          <w:rFonts w:ascii="Calibri" w:hAnsi="Calibri"/>
          <w:b/>
          <w:color w:val="525866"/>
          <w:sz w:val="22"/>
        </w:rPr>
        <w:t xml:space="preserve">Read-Through Relevance: </w:t>
      </w:r>
      <w:r>
        <w:rPr>
          <w:rFonts w:ascii="Calibri" w:hAnsi="Calibri"/>
          <w:color w:val="525866"/>
          <w:sz w:val="22"/>
        </w:rPr>
        <w:t>Low-Moderate. WEX operates in fleet payments, corporate payments, and benefits — adjacent to GPN’s merchant acquiring business. The most relevant read-through is on travel volumes and the Middle East conflict impact on corporate travel.</w:t>
      </w:r>
    </w:p>
    <w:p>
      <w:pPr>
        <w:pStyle w:val="ListBullet"/>
        <w:ind w:left="360" w:hanging="360"/>
      </w:pPr>
      <w:r>
        <w:rPr>
          <w:rFonts w:ascii="Calibri" w:hAnsi="Calibri"/>
          <w:b/>
          <w:color w:val="525866"/>
          <w:sz w:val="22"/>
        </w:rPr>
        <w:t xml:space="preserve">Travel volumes resilient despite Middle East uncertainty: </w:t>
      </w:r>
      <w:r>
        <w:rPr>
          <w:rFonts w:ascii="Calibri" w:hAnsi="Calibri"/>
          <w:color w:val="525866"/>
          <w:sz w:val="22"/>
        </w:rPr>
        <w:t xml:space="preserve">WEX reported total travel volume up 6.4% in Q2 2026, with “continued strength in travel customers despite the uncertainty associated with higher fuel prices and the Middle East conflict.” The segment purchase volume decline of 3.6% was driven by timing of volumes from a large OTA customer (shifted to H2), not underlying demand weakness. WEX expects high single-digit to low double-digit purchase volume growth in H2. </w:t>
      </w:r>
    </w:p>
    <w:p>
      <w:pPr>
        <w:pStyle w:val="ListBullet"/>
        <w:ind w:left="360" w:hanging="360"/>
      </w:pPr>
      <w:r>
        <w:rPr>
          <w:rFonts w:ascii="Calibri" w:hAnsi="Calibri"/>
          <w:b/>
          <w:color w:val="525866"/>
          <w:sz w:val="22"/>
        </w:rPr>
        <w:t xml:space="preserve">Corporate payments direct AP channel accelerating: </w:t>
      </w:r>
      <w:r>
        <w:rPr>
          <w:rFonts w:ascii="Calibri" w:hAnsi="Calibri"/>
          <w:color w:val="525866"/>
          <w:sz w:val="22"/>
        </w:rPr>
        <w:t xml:space="preserve">Volume growth in the direct AP channel accelerated to 20% in Q2, expected to remain in the mid-teens for the rest of the year. This reflects healthy B2B payment activity, which is constructive for GPN’s enterprise and corporate payments business. </w:t>
      </w:r>
    </w:p>
    <w:p>
      <w:pPr>
        <w:pStyle w:val="ListBullet"/>
        <w:ind w:left="360" w:hanging="360"/>
      </w:pPr>
      <w:r>
        <w:rPr>
          <w:rFonts w:ascii="Calibri" w:hAnsi="Calibri"/>
          <w:b/>
          <w:color w:val="525866"/>
          <w:sz w:val="22"/>
        </w:rPr>
        <w:t xml:space="preserve">Macro environment: stable but demand-side constrained: </w:t>
      </w:r>
      <w:r>
        <w:rPr>
          <w:rFonts w:ascii="Calibri" w:hAnsi="Calibri"/>
          <w:color w:val="525866"/>
          <w:sz w:val="22"/>
        </w:rPr>
        <w:t xml:space="preserve">WEX noted that while the supply side of the trucking sector is recovering (higher spot rates), the demand side “remains constrained by broader economic conditions,” with housing starts and manufacturing numbers not improving. WEX’s guidance assumes the current macro state continues through year-end with no rebound. This is a more cautious macro read than Mastercard/Visa/AXP, but WEX’s exposure to trucking/fleet is more cyclically sensitive than GPN’s diversified merchant acquiring business. </w:t>
      </w:r>
    </w:p>
    <w:p>
      <w:pPr>
        <w:pStyle w:val="ListBullet"/>
        <w:ind w:left="360" w:hanging="360"/>
      </w:pPr>
      <w:r>
        <w:rPr>
          <w:rFonts w:ascii="Calibri" w:hAnsi="Calibri"/>
          <w:b/>
          <w:color w:val="525866"/>
          <w:sz w:val="22"/>
        </w:rPr>
        <w:t xml:space="preserve">Strong financial performance: </w:t>
      </w:r>
      <w:r>
        <w:rPr>
          <w:rFonts w:ascii="Calibri" w:hAnsi="Calibri"/>
          <w:color w:val="525866"/>
          <w:sz w:val="22"/>
        </w:rPr>
        <w:t xml:space="preserve">WEX exceeded the high end of its guidance range for both revenue ($753.5M, +14.2%) and adjusted EPS ($5.35, +35.4%), with adjusted free cash flow of $696M on a trailing 12-month basis enabling leverage reduction to 2.9x and resumption of share repurchases ahead of schedule. This is a positive read-through for GPN’s own deleveraging and capital return trajectory. </w:t>
      </w:r>
    </w:p>
    <w:p>
      <w:r>
        <w:rPr>
          <w:rFonts w:ascii="Calibri" w:hAnsi="Calibri"/>
          <w:b/>
          <w:color w:val="525866"/>
          <w:sz w:val="22"/>
        </w:rPr>
        <w:t>Summary Read-Through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Read-Through for GPN Q2</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Mastercard (MA)</w:t>
            </w:r>
          </w:p>
        </w:tc>
        <w:tc>
          <w:tcPr>
            <w:tcW w:type="dxa" w:w="2160"/>
          </w:tcPr>
          <w:p>
            <w:r>
              <w:rPr>
                <w:rFonts w:ascii="Calibri" w:hAnsi="Calibri"/>
                <w:sz w:val="22"/>
              </w:rPr>
              <w:t>Jul 30, 2026</w:t>
            </w:r>
          </w:p>
        </w:tc>
        <w:tc>
          <w:tcPr>
            <w:tcW w:type="dxa" w:w="2160"/>
          </w:tcPr>
          <w:p>
            <w:r>
              <w:rPr>
                <w:rFonts w:ascii="Calibri" w:hAnsi="Calibri"/>
                <w:sz w:val="22"/>
              </w:rPr>
              <w:t>Middle East headwind lower than anticipated; consumer spending broad-based; cross-border +12%; FY guidance raised</w:t>
            </w:r>
          </w:p>
        </w:tc>
        <w:tc>
          <w:tcPr>
            <w:tcW w:type="dxa" w:w="2160"/>
          </w:tcPr>
          <w:p>
            <w:r>
              <w:rPr>
                <w:rFonts w:ascii="Calibri" w:hAnsi="Calibri"/>
                <w:b/>
                <w:color w:val="30A46C"/>
                <w:sz w:val="22"/>
              </w:rPr>
              <w:t>Positive</w:t>
            </w:r>
          </w:p>
        </w:tc>
      </w:tr>
      <w:tr>
        <w:tc>
          <w:tcPr>
            <w:tcW w:type="dxa" w:w="2160"/>
          </w:tcPr>
          <w:p>
            <w:r>
              <w:rPr>
                <w:rFonts w:ascii="Calibri" w:hAnsi="Calibri"/>
                <w:sz w:val="22"/>
              </w:rPr>
              <w:t>Visa (V)</w:t>
            </w:r>
          </w:p>
        </w:tc>
        <w:tc>
          <w:tcPr>
            <w:tcW w:type="dxa" w:w="2160"/>
          </w:tcPr>
          <w:p>
            <w:r>
              <w:rPr>
                <w:rFonts w:ascii="Calibri" w:hAnsi="Calibri"/>
                <w:sz w:val="22"/>
              </w:rPr>
              <w:t>Jul 28, 2026</w:t>
            </w:r>
          </w:p>
        </w:tc>
        <w:tc>
          <w:tcPr>
            <w:tcW w:type="dxa" w:w="2160"/>
          </w:tcPr>
          <w:p>
            <w:r>
              <w:rPr>
                <w:rFonts w:ascii="Calibri" w:hAnsi="Calibri"/>
                <w:sz w:val="22"/>
              </w:rPr>
              <w:t>U.S. payment volume +10% (best since 2019); travel stable; July trends healthy; FY guidance maintained at high end of low double-digits</w:t>
            </w:r>
          </w:p>
        </w:tc>
        <w:tc>
          <w:tcPr>
            <w:tcW w:type="dxa" w:w="2160"/>
          </w:tcPr>
          <w:p>
            <w:r>
              <w:rPr>
                <w:rFonts w:ascii="Calibri" w:hAnsi="Calibri"/>
                <w:b/>
                <w:color w:val="30A46C"/>
                <w:sz w:val="22"/>
              </w:rPr>
              <w:t>Positive</w:t>
            </w:r>
          </w:p>
        </w:tc>
      </w:tr>
      <w:tr>
        <w:tc>
          <w:tcPr>
            <w:tcW w:type="dxa" w:w="2160"/>
          </w:tcPr>
          <w:p>
            <w:r>
              <w:rPr>
                <w:rFonts w:ascii="Calibri" w:hAnsi="Calibri"/>
                <w:sz w:val="22"/>
              </w:rPr>
              <w:t>American Express (AXP)</w:t>
            </w:r>
          </w:p>
        </w:tc>
        <w:tc>
          <w:tcPr>
            <w:tcW w:type="dxa" w:w="2160"/>
          </w:tcPr>
          <w:p>
            <w:r>
              <w:rPr>
                <w:rFonts w:ascii="Calibri" w:hAnsi="Calibri"/>
                <w:sz w:val="22"/>
              </w:rPr>
              <w:t>Jul 24, 2026</w:t>
            </w:r>
          </w:p>
        </w:tc>
        <w:tc>
          <w:tcPr>
            <w:tcW w:type="dxa" w:w="2160"/>
          </w:tcPr>
          <w:p>
            <w:r>
              <w:rPr>
                <w:rFonts w:ascii="Calibri" w:hAnsi="Calibri"/>
                <w:sz w:val="22"/>
              </w:rPr>
              <w:t>U.S. consumer spending +11% (highest since 2018); airline spend +10% (6-quarter high); restaurant +10%; retail +13%; FY revenue guidance raised to 10%</w:t>
            </w:r>
          </w:p>
        </w:tc>
        <w:tc>
          <w:tcPr>
            <w:tcW w:type="dxa" w:w="2160"/>
          </w:tcPr>
          <w:p>
            <w:r>
              <w:rPr>
                <w:rFonts w:ascii="Calibri" w:hAnsi="Calibri"/>
                <w:b/>
                <w:color w:val="30A46C"/>
                <w:sz w:val="22"/>
              </w:rPr>
              <w:t>Positive</w:t>
            </w:r>
          </w:p>
        </w:tc>
      </w:tr>
      <w:tr>
        <w:tc>
          <w:tcPr>
            <w:tcW w:type="dxa" w:w="2160"/>
          </w:tcPr>
          <w:p>
            <w:r>
              <w:rPr>
                <w:rFonts w:ascii="Calibri" w:hAnsi="Calibri"/>
                <w:sz w:val="22"/>
              </w:rPr>
              <w:t>PayPal (PYPL)</w:t>
            </w:r>
          </w:p>
        </w:tc>
        <w:tc>
          <w:tcPr>
            <w:tcW w:type="dxa" w:w="2160"/>
          </w:tcPr>
          <w:p>
            <w:r>
              <w:rPr>
                <w:rFonts w:ascii="Calibri" w:hAnsi="Calibri"/>
                <w:sz w:val="22"/>
              </w:rPr>
              <w:t>Jul 28, 2026</w:t>
            </w:r>
          </w:p>
        </w:tc>
        <w:tc>
          <w:tcPr>
            <w:tcW w:type="dxa" w:w="2160"/>
          </w:tcPr>
          <w:p>
            <w:r>
              <w:rPr>
                <w:rFonts w:ascii="Calibri" w:hAnsi="Calibri"/>
                <w:sz w:val="22"/>
              </w:rPr>
              <w:t>TPV +9% CC; travel pressure moderated through Q2; Braintree PSP accelerating to +13%; FY guidance raised</w:t>
            </w:r>
          </w:p>
        </w:tc>
        <w:tc>
          <w:tcPr>
            <w:tcW w:type="dxa" w:w="2160"/>
          </w:tcPr>
          <w:p>
            <w:r>
              <w:rPr>
                <w:rFonts w:ascii="Calibri" w:hAnsi="Calibri"/>
                <w:b/>
                <w:color w:val="30A46C"/>
                <w:sz w:val="22"/>
              </w:rPr>
              <w:t>Neutral-Positive</w:t>
            </w:r>
          </w:p>
        </w:tc>
      </w:tr>
      <w:tr>
        <w:tc>
          <w:tcPr>
            <w:tcW w:type="dxa" w:w="2160"/>
          </w:tcPr>
          <w:p>
            <w:r>
              <w:rPr>
                <w:rFonts w:ascii="Calibri" w:hAnsi="Calibri"/>
                <w:sz w:val="22"/>
              </w:rPr>
              <w:t>Fiserv (FISV)</w:t>
            </w:r>
          </w:p>
        </w:tc>
        <w:tc>
          <w:tcPr>
            <w:tcW w:type="dxa" w:w="2160"/>
          </w:tcPr>
          <w:p>
            <w:r>
              <w:rPr>
                <w:rFonts w:ascii="Calibri" w:hAnsi="Calibri"/>
                <w:sz w:val="22"/>
              </w:rPr>
              <w:t>May 14 &amp; 28, 2026</w:t>
            </w:r>
          </w:p>
        </w:tc>
        <w:tc>
          <w:tcPr>
            <w:tcW w:type="dxa" w:w="2160"/>
          </w:tcPr>
          <w:p>
            <w:r>
              <w:rPr>
                <w:rFonts w:ascii="Calibri" w:hAnsi="Calibri"/>
                <w:sz w:val="22"/>
              </w:rPr>
              <w:t>SMB volumes healthy; Clover TPV +10% consistently; H1 2026 transition creates competitive opportunity for Genius; e-commerce competition performance-driven</w:t>
            </w:r>
          </w:p>
        </w:tc>
        <w:tc>
          <w:tcPr>
            <w:tcW w:type="dxa" w:w="2160"/>
          </w:tcPr>
          <w:p>
            <w:r>
              <w:rPr>
                <w:rFonts w:ascii="Calibri" w:hAnsi="Calibri"/>
                <w:b/>
                <w:color w:val="30A46C"/>
                <w:sz w:val="22"/>
              </w:rPr>
              <w:t>Neutral-Positive</w:t>
            </w:r>
          </w:p>
        </w:tc>
      </w:tr>
      <w:tr>
        <w:tc>
          <w:tcPr>
            <w:tcW w:type="dxa" w:w="2160"/>
          </w:tcPr>
          <w:p>
            <w:r>
              <w:rPr>
                <w:rFonts w:ascii="Calibri" w:hAnsi="Calibri"/>
                <w:sz w:val="22"/>
              </w:rPr>
              <w:t>WEX Inc. (WEX)</w:t>
            </w:r>
          </w:p>
        </w:tc>
        <w:tc>
          <w:tcPr>
            <w:tcW w:type="dxa" w:w="2160"/>
          </w:tcPr>
          <w:p>
            <w:r>
              <w:rPr>
                <w:rFonts w:ascii="Calibri" w:hAnsi="Calibri"/>
                <w:sz w:val="22"/>
              </w:rPr>
              <w:t>Jul 22–23, 2026</w:t>
            </w:r>
          </w:p>
        </w:tc>
        <w:tc>
          <w:tcPr>
            <w:tcW w:type="dxa" w:w="2160"/>
          </w:tcPr>
          <w:p>
            <w:r>
              <w:rPr>
                <w:rFonts w:ascii="Calibri" w:hAnsi="Calibri"/>
                <w:sz w:val="22"/>
              </w:rPr>
              <w:t>Travel volumes resilient; corporate AP accelerating; macro demand-side cautious but GPN less exposed to trucking/fleet cyclicality</w:t>
            </w:r>
          </w:p>
        </w:tc>
        <w:tc>
          <w:tcPr>
            <w:tcW w:type="dxa" w:w="2160"/>
          </w:tcPr>
          <w:p>
            <w:r>
              <w:rPr>
                <w:rFonts w:ascii="Calibri" w:hAnsi="Calibri"/>
                <w:b/>
                <w:color w:val="002FA7"/>
                <w:sz w:val="22"/>
              </w:rPr>
              <w:t>Neutral</w:t>
            </w:r>
          </w:p>
        </w:tc>
      </w:tr>
    </w:tbl>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