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GWW (W.W. Grainger) before writing the preview. Let me gather recent earnings materials, filings, news, and price data.Important developments to dig into. Let me read the latest earnings materials, the CFO resignation 8-K, and the year-ago Q2 quarter.Now let me read the Q1 2026 earnings call for demand/tariff color and the year-ago Q2 2025 release for the comparison base.I have strong fundamentals. Let me get current consensus estimates and any recent analyst context via web search.I have what I need. Let me compute a few key figures for the preview.# W.W. Grainger (GWW) — Q2 2026 Earnings Preview</w:t>
      </w:r>
    </w:p>
    <w:bookmarkStart w:id="9" w:name="X827ceb718731a11fc218ddc75b9038f0f8f9b37"/>
    <w:p>
      <w:pPr>
        <w:pStyle w:val="Heading3"/>
      </w:pPr>
      <w:r>
        <w:t xml:space="preserve">Reports before the open, Tuesday August 4, 2026 (2026Q2 Earnings Call, 11:00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Grainger heads into Q2 as a stock priced for perfection after a monster run, with a</w:t>
      </w:r>
      <w:r>
        <w:t xml:space="preserve"> </w:t>
      </w:r>
      <w:r>
        <w:rPr>
          <w:i/>
          <w:iCs/>
        </w:rPr>
        <w:t xml:space="preserve">pre-telegraphed</w:t>
      </w:r>
      <w:r>
        <w:t xml:space="preserve"> </w:t>
      </w:r>
      <w:r>
        <w:t xml:space="preserve">margin step-down this quarter and a brand-new curveball: the CFO resigned three days before the print. The debate isn't whether the quarter was good — management already told us April was tracking north of +13% — it's whether the beat-and-raise cadence justifies a near-record valuation, and how the market reads the C-suite change.</w:t>
      </w:r>
    </w:p>
    <w:p>
      <w:r>
        <w:pict>
          <v:rect style="width:0;height:1.5pt" o:hralign="center" o:hrstd="t" o:hr="t"/>
        </w:pict>
      </w:r>
    </w:p>
    <w:bookmarkEnd w:id="10"/>
    <w:bookmarkStart w:id="11" w:name="Xb60262208d9eb696b6117c502e504709f4e5b4c"/>
    <w:p>
      <w:pPr>
        <w:pStyle w:val="Heading2"/>
      </w:pPr>
      <w:r>
        <w:t xml:space="preserve">1. The fresh overhang: CFO departure (announced Aug 3)</w:t>
      </w:r>
    </w:p>
    <w:p>
      <w:pPr>
        <w:pStyle w:val="FirstParagraph"/>
      </w:pPr>
      <w:r>
        <w:t xml:space="preserve">This is the headline investors will react to first. On July 31, CFO</w:t>
      </w:r>
      <w:r>
        <w:t xml:space="preserve"> </w:t>
      </w:r>
      <w:r>
        <w:rPr>
          <w:b/>
          <w:bCs/>
        </w:rPr>
        <w:t xml:space="preserve">Deidra "Dee" Merriwether notified the board she is resigning to pursue another opportunity, effective September 4, 2026.</w:t>
      </w:r>
      <w:r>
        <w:t xml:space="preserve"> </w:t>
      </w:r>
      <w:r>
        <w:t xml:space="preserve">The company was explicit that her departure is</w:t>
      </w:r>
      <w:r>
        <w:t xml:space="preserve"> </w:t>
      </w:r>
      <w:r>
        <w:rPr>
          <w:b/>
          <w:bCs/>
        </w:rPr>
        <w:t xml:space="preserve">not due to any disagreement over operations, financial statements, internal controls, policies/practices, or the auditors</w:t>
      </w:r>
      <w:r>
        <w:t xml:space="preserve"> </w:t>
      </w:r>
      <w:r>
        <w:t xml:space="preserve">— important language that should limit the "what are they hiding?" reflex.</w:t>
      </w:r>
    </w:p>
    <w:p>
      <w:pPr>
        <w:pStyle w:val="Compact"/>
        <w:numPr>
          <w:ilvl w:val="0"/>
          <w:numId w:val="1001"/>
        </w:numPr>
      </w:pPr>
      <w:r>
        <w:rPr>
          <w:b/>
          <w:bCs/>
        </w:rPr>
        <w:t xml:space="preserve">Interim CFO:</w:t>
      </w:r>
      <w:r>
        <w:t xml:space="preserve"> </w:t>
      </w:r>
      <w:r>
        <w:t xml:space="preserve">Laurie R. Thomson (age 53), current VP &amp; Controller and principal accounting officer since 2021, ex-CVS internal audit and Arthur Andersen, CPA. A steady, controls-oriented internal appointment.</w:t>
      </w:r>
    </w:p>
    <w:p>
      <w:pPr>
        <w:pStyle w:val="Compact"/>
        <w:numPr>
          <w:ilvl w:val="0"/>
          <w:numId w:val="1001"/>
        </w:numPr>
      </w:pPr>
      <w:r>
        <w:rPr>
          <w:b/>
          <w:bCs/>
        </w:rPr>
        <w:t xml:space="preserve">A permanent search begins immediately.</w:t>
      </w:r>
    </w:p>
    <w:p>
      <w:pPr>
        <w:pStyle w:val="Compact"/>
        <w:numPr>
          <w:ilvl w:val="0"/>
          <w:numId w:val="1001"/>
        </w:numPr>
      </w:pPr>
      <w:r>
        <w:rPr>
          <w:b/>
          <w:bCs/>
        </w:rPr>
        <w:t xml:space="preserve">Nuance for the call:</w:t>
      </w:r>
      <w:r>
        <w:t xml:space="preserve"> </w:t>
      </w:r>
      <w:r>
        <w:t xml:space="preserve">Merriwether is CFO through Sept 4, so she should still host Tuesday's call. Watch for (a) tone/confidence in her handoff commentary, (b) any framing of "senior leaders taking on new roles" — D.G. Macpherson flagged internal leadership reshuffling on the Q1 call — and (c) whether an interim CFO changes the odds/size of a guidance raise (interims tend to be conservative). Net: likely a modest sentiment negative, but the "no disagreement" clause and an internal, credible successor cap the downside.</w:t>
      </w:r>
    </w:p>
    <w:p>
      <w:r>
        <w:pict>
          <v:rect style="width:0;height:1.5pt" o:hralign="center" o:hrstd="t" o:hr="t"/>
        </w:pict>
      </w:r>
    </w:p>
    <w:bookmarkEnd w:id="11"/>
    <w:bookmarkStart w:id="12" w:name="X9500fd6cb45093fe7917c348a19678797d45067"/>
    <w:p>
      <w:pPr>
        <w:pStyle w:val="Heading2"/>
      </w:pPr>
      <w:r>
        <w:t xml:space="preserve">2. What management already told us to expect for Q2</w:t>
      </w:r>
    </w:p>
    <w:p>
      <w:pPr>
        <w:pStyle w:val="FirstParagraph"/>
      </w:pPr>
      <w:r>
        <w:t xml:space="preserve">Grainger gave unusually specific Q2 guardrails on the May Q1 call, so the bar is well-defined: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 (per mgmt)</w:t>
            </w:r>
          </w:p>
        </w:tc>
        <w:tc>
          <w:tcPr/>
          <w:p>
            <w:pPr>
              <w:pStyle w:val="Compact"/>
            </w:pPr>
            <w:r>
              <w:t xml:space="preserve">Q2 2025 actual</w:t>
            </w:r>
          </w:p>
        </w:tc>
      </w:tr>
      <w:tr>
        <w:tc>
          <w:tcPr/>
          <w:p>
            <w:pPr>
              <w:pStyle w:val="Compact"/>
            </w:pPr>
            <w:r>
              <w:t xml:space="preserve">Net sales</w:t>
            </w:r>
          </w:p>
        </w:tc>
        <w:tc>
          <w:tcPr/>
          <w:p>
            <w:pPr>
              <w:pStyle w:val="Compact"/>
            </w:pPr>
            <w:r>
              <w:rPr>
                <w:b/>
                <w:bCs/>
              </w:rPr>
              <w:t xml:space="preserve">&gt; $4.9 billion</w:t>
            </w:r>
          </w:p>
        </w:tc>
        <w:tc>
          <w:tcPr/>
          <w:p>
            <w:pPr>
              <w:pStyle w:val="Compact"/>
            </w:pPr>
            <w:r>
              <w:t xml:space="preserve">$4,554M</w:t>
            </w:r>
          </w:p>
        </w:tc>
      </w:tr>
      <w:tr>
        <w:tc>
          <w:tcPr/>
          <w:p>
            <w:pPr>
              <w:pStyle w:val="Compact"/>
            </w:pPr>
            <w:r>
              <w:t xml:space="preserve">Daily organic constant-currency growth</w:t>
            </w:r>
          </w:p>
        </w:tc>
        <w:tc>
          <w:tcPr/>
          <w:p>
            <w:pPr>
              <w:pStyle w:val="Compact"/>
            </w:pPr>
            <w:r>
              <w:rPr>
                <w:b/>
                <w:bCs/>
              </w:rPr>
              <w:t xml:space="preserve">approaching ~12%</w:t>
            </w:r>
          </w:p>
        </w:tc>
        <w:tc>
          <w:tcPr/>
          <w:p>
            <w:pPr>
              <w:pStyle w:val="Compact"/>
            </w:pPr>
            <w:r>
              <w:t xml:space="preserve">+5.1% daily cc</w:t>
            </w:r>
          </w:p>
        </w:tc>
      </w:tr>
      <w:tr>
        <w:tc>
          <w:tcPr/>
          <w:p>
            <w:pPr>
              <w:pStyle w:val="Compact"/>
            </w:pPr>
            <w:r>
              <w:t xml:space="preserve">Reported growth</w:t>
            </w:r>
          </w:p>
        </w:tc>
        <w:tc>
          <w:tcPr/>
          <w:p>
            <w:pPr>
              <w:pStyle w:val="Compact"/>
            </w:pPr>
            <w:r>
              <w:t xml:space="preserve">~330 bps</w:t>
            </w:r>
            <w:r>
              <w:t xml:space="preserve"> </w:t>
            </w:r>
            <w:r>
              <w:rPr>
                <w:i/>
                <w:iCs/>
              </w:rPr>
              <w:t xml:space="preserve">below</w:t>
            </w:r>
            <w:r>
              <w:t xml:space="preserve"> </w:t>
            </w:r>
            <w:r>
              <w:t xml:space="preserve">organic (UK exit + FX drag)</w:t>
            </w:r>
          </w:p>
        </w:tc>
        <w:tc>
          <w:tcPr/>
          <w:p>
            <w:pPr>
              <w:pStyle w:val="Compact"/>
            </w:pPr>
            <w:r>
              <w:t xml:space="preserve">+5.6%</w:t>
            </w:r>
          </w:p>
        </w:tc>
      </w:tr>
      <w:tr>
        <w:tc>
          <w:tcPr/>
          <w:p>
            <w:pPr>
              <w:pStyle w:val="Compact"/>
            </w:pPr>
            <w:r>
              <w:t xml:space="preserve">Total-company operating margin</w:t>
            </w:r>
          </w:p>
        </w:tc>
        <w:tc>
          <w:tcPr/>
          <w:p>
            <w:pPr>
              <w:pStyle w:val="Compact"/>
            </w:pPr>
            <w:r>
              <w:rPr>
                <w:b/>
                <w:bCs/>
              </w:rPr>
              <w:t xml:space="preserve">"low 15% range"</w:t>
            </w:r>
            <w:r>
              <w:t xml:space="preserve"> </w:t>
            </w:r>
            <w:r>
              <w:t xml:space="preserve">(down seq. from 16.7% in Q1)</w:t>
            </w:r>
          </w:p>
        </w:tc>
        <w:tc>
          <w:tcPr/>
          <w:p>
            <w:pPr>
              <w:pStyle w:val="Compact"/>
            </w:pPr>
            <w:r>
              <w:t xml:space="preserve">14.9%</w:t>
            </w:r>
          </w:p>
        </w:tc>
      </w:tr>
    </w:tbl>
    <w:p>
      <w:pPr>
        <w:pStyle w:val="BodyText"/>
      </w:pPr>
      <w:r>
        <w:t xml:space="preserve">Key read-through:</w:t>
      </w:r>
      <w:r>
        <w:t xml:space="preserve"> </w:t>
      </w:r>
      <w:r>
        <w:rPr>
          <w:b/>
          <w:bCs/>
        </w:rPr>
        <w:t xml:space="preserve">the sequential margin decline from Q1's 16.7% is expected and explained — not a miss signal.</w:t>
      </w:r>
      <w:r>
        <w:t xml:space="preserve"> </w:t>
      </w:r>
      <w:r>
        <w:t xml:space="preserve">Management walked through the ~1-pt gross-margin bridge from Q1→Q2:</w:t>
      </w:r>
    </w:p>
    <w:p>
      <w:pPr>
        <w:pStyle w:val="Compact"/>
        <w:numPr>
          <w:ilvl w:val="0"/>
          <w:numId w:val="1002"/>
        </w:numPr>
      </w:pPr>
      <w:r>
        <w:rPr>
          <w:b/>
          <w:bCs/>
        </w:rPr>
        <w:t xml:space="preserve">~60 bps</w:t>
      </w:r>
      <w:r>
        <w:t xml:space="preserve"> </w:t>
      </w:r>
      <w:r>
        <w:t xml:space="preserve">normal seasonality (January price increase bleeds off through the year)</w:t>
      </w:r>
    </w:p>
    <w:p>
      <w:pPr>
        <w:pStyle w:val="Compact"/>
        <w:numPr>
          <w:ilvl w:val="0"/>
          <w:numId w:val="1002"/>
        </w:numPr>
      </w:pPr>
      <w:r>
        <w:rPr>
          <w:b/>
          <w:bCs/>
        </w:rPr>
        <w:t xml:space="preserve">~20 bps</w:t>
      </w:r>
      <w:r>
        <w:t xml:space="preserve"> </w:t>
      </w:r>
      <w:r>
        <w:t xml:space="preserve">private-label (FIFO) higher-cost inventory layer that</w:t>
      </w:r>
      <w:r>
        <w:t xml:space="preserve"> </w:t>
      </w:r>
      <w:r>
        <w:rPr>
          <w:i/>
          <w:iCs/>
        </w:rPr>
        <w:t xml:space="preserve">slipped from Q1 into Q2</w:t>
      </w:r>
    </w:p>
    <w:p>
      <w:pPr>
        <w:pStyle w:val="Compact"/>
        <w:numPr>
          <w:ilvl w:val="0"/>
          <w:numId w:val="1002"/>
        </w:numPr>
      </w:pPr>
      <w:r>
        <w:t xml:space="preserve">The remainder from</w:t>
      </w:r>
      <w:r>
        <w:t xml:space="preserve"> </w:t>
      </w:r>
      <w:r>
        <w:rPr>
          <w:b/>
          <w:bCs/>
        </w:rPr>
        <w:t xml:space="preserve">fuel-cost "leakage"</w:t>
      </w:r>
      <w:r>
        <w:t xml:space="preserve"> </w:t>
      </w:r>
      <w:r>
        <w:t xml:space="preserve">— Grainger can't easily pass diesel/parcel surcharges to large customers who have free parcel shipping in their contracts, and there's no pricing window until later in the year.</w:t>
      </w:r>
    </w:p>
    <w:p>
      <w:pPr>
        <w:pStyle w:val="FirstParagraph"/>
      </w:pPr>
      <w:r>
        <w:t xml:space="preserve">Management framed full-year gross margin as</w:t>
      </w:r>
      <w:r>
        <w:t xml:space="preserve"> </w:t>
      </w:r>
      <w:r>
        <w:rPr>
          <w:b/>
          <w:bCs/>
        </w:rPr>
        <w:t xml:space="preserve">"U-shaped"</w:t>
      </w:r>
      <w:r>
        <w:t xml:space="preserve"> </w:t>
      </w:r>
      <w:r>
        <w:t xml:space="preserve">— softer in the middle, recovering in H2 as price catches up. So the story to validate Tuesday:</w:t>
      </w:r>
      <w:r>
        <w:t xml:space="preserve"> </w:t>
      </w:r>
      <w:r>
        <w:rPr>
          <w:i/>
          <w:iCs/>
        </w:rPr>
        <w:t xml:space="preserve">is this a trough quarter on margin, as advertised?</w:t>
      </w:r>
    </w:p>
    <w:p>
      <w:r>
        <w:pict>
          <v:rect style="width:0;height:1.5pt" o:hralign="center" o:hrstd="t" o:hr="t"/>
        </w:pict>
      </w:r>
    </w:p>
    <w:bookmarkEnd w:id="12"/>
    <w:bookmarkStart w:id="13" w:name="Xf890e085d0a016b648fb80fccb22c67e3522898"/>
    <w:p>
      <w:pPr>
        <w:pStyle w:val="Heading2"/>
      </w:pPr>
      <w:r>
        <w:t xml:space="preserve">3. Demand momentum — the most important positive</w:t>
      </w:r>
    </w:p>
    <w:p>
      <w:pPr>
        <w:pStyle w:val="FirstParagraph"/>
      </w:pPr>
      <w:r>
        <w:t xml:space="preserve">The Q1 call was notably upbeat on end-markets. After</w:t>
      </w:r>
      <w:r>
        <w:t xml:space="preserve"> </w:t>
      </w:r>
      <w:r>
        <w:rPr>
          <w:b/>
          <w:bCs/>
        </w:rPr>
        <w:t xml:space="preserve">years of negative MRO volume, management believes market volume turned slightly positive</w:t>
      </w:r>
      <w:r>
        <w:t xml:space="preserve">, and they cited</w:t>
      </w:r>
      <w:r>
        <w:t xml:space="preserve"> </w:t>
      </w:r>
      <w:r>
        <w:rPr>
          <w:b/>
          <w:bCs/>
        </w:rPr>
        <w:t xml:space="preserve">preliminary April daily organic cc sales up "north of 13%,"</w:t>
      </w:r>
      <w:r>
        <w:t xml:space="preserve"> </w:t>
      </w:r>
      <w:r>
        <w:t xml:space="preserve">with broad-based strength across manufacturing, government, and contractor customers. Three drivers: (1) end-market demand inflection, (2) price realization running ahead of plan (~5 pts in HTS), and (3) continued share gains.</w:t>
      </w:r>
    </w:p>
    <w:p>
      <w:pPr>
        <w:pStyle w:val="BodyText"/>
      </w:pPr>
      <w:r>
        <w:rPr>
          <w:b/>
          <w:bCs/>
        </w:rPr>
        <w:t xml:space="preserve">What to watch:</w:t>
      </w:r>
      <w:r>
        <w:t xml:space="preserve"> </w:t>
      </w:r>
      <w:r>
        <w:t xml:space="preserve">Did the &gt;13% April pace hold through May/June, or did it decelerate? For the full year, management assumes market volume of only</w:t>
      </w:r>
      <w:r>
        <w:t xml:space="preserve"> </w:t>
      </w:r>
      <w:r>
        <w:rPr>
          <w:b/>
          <w:bCs/>
        </w:rPr>
        <w:t xml:space="preserve">~0–1%</w:t>
      </w:r>
      <w:r>
        <w:t xml:space="preserve"> </w:t>
      </w:r>
      <w:r>
        <w:t xml:space="preserve">and</w:t>
      </w:r>
      <w:r>
        <w:t xml:space="preserve"> </w:t>
      </w:r>
      <w:r>
        <w:rPr>
          <w:b/>
          <w:bCs/>
        </w:rPr>
        <w:t xml:space="preserve">price moderating from ~5% (Q1) to ~4%</w:t>
      </w:r>
      <w:r>
        <w:t xml:space="preserve">, so a Q2 that stays double-digit organic implies continued share gains + sticky price. Any commentary on July/current-quarter run-rate will move the stock.</w:t>
      </w:r>
    </w:p>
    <w:p>
      <w:r>
        <w:pict>
          <v:rect style="width:0;height:1.5pt" o:hralign="center" o:hrstd="t" o:hr="t"/>
        </w:pict>
      </w:r>
    </w:p>
    <w:bookmarkEnd w:id="13"/>
    <w:bookmarkStart w:id="14" w:name="X16249e45e867bc69571121dc10e2702dfae50f0"/>
    <w:p>
      <w:pPr>
        <w:pStyle w:val="Heading2"/>
      </w:pPr>
      <w:r>
        <w:t xml:space="preserve">4. Segment dynamics to track</w:t>
      </w:r>
    </w:p>
    <w:p>
      <w:pPr>
        <w:pStyle w:val="FirstParagraph"/>
      </w:pPr>
      <w:r>
        <w:rPr>
          <w:b/>
          <w:bCs/>
        </w:rPr>
        <w:t xml:space="preserve">High-Touch Solutions (N.A.) — the re-acceleration:</w:t>
      </w:r>
    </w:p>
    <w:p>
      <w:pPr>
        <w:pStyle w:val="Compact"/>
        <w:numPr>
          <w:ilvl w:val="0"/>
          <w:numId w:val="1003"/>
        </w:numPr>
      </w:pPr>
      <w:r>
        <w:t xml:space="preserve">Q1 was +10.5% reported (~equal price/volume), op margin 18.3% (+60 bps). Q2 2025 base was only +2.5% with 41.0% gross margin, so the YoY comp is easy and the acceleration should be visible.</w:t>
      </w:r>
    </w:p>
    <w:p>
      <w:pPr>
        <w:pStyle w:val="Compact"/>
        <w:numPr>
          <w:ilvl w:val="0"/>
          <w:numId w:val="1003"/>
        </w:numPr>
      </w:pPr>
      <w:r>
        <w:t xml:space="preserve">Watch price/cost: Q1 was roughly</w:t>
      </w:r>
      <w:r>
        <w:t xml:space="preserve"> </w:t>
      </w:r>
      <w:r>
        <w:rPr>
          <w:i/>
          <w:iCs/>
        </w:rPr>
        <w:t xml:space="preserve">neutral</w:t>
      </w:r>
      <w:r>
        <w:t xml:space="preserve"> </w:t>
      </w:r>
      <w:r>
        <w:t xml:space="preserve">(LIFO-driven), better than feared. Sustainability of price realization is the long-running bear/bull debate — Macpherson pushed back hard that the "can they hold price?" concern "has not been happening internally."</w:t>
      </w:r>
    </w:p>
    <w:p>
      <w:pPr>
        <w:pStyle w:val="FirstParagraph"/>
      </w:pPr>
      <w:r>
        <w:rPr>
          <w:b/>
          <w:bCs/>
        </w:rPr>
        <w:t xml:space="preserve">Endless Assortment — high-growth engine:</w:t>
      </w:r>
    </w:p>
    <w:p>
      <w:pPr>
        <w:pStyle w:val="Compact"/>
        <w:numPr>
          <w:ilvl w:val="0"/>
          <w:numId w:val="1004"/>
        </w:numPr>
      </w:pPr>
      <w:r>
        <w:t xml:space="preserve">Q1: +21.9% daily organic cc;</w:t>
      </w:r>
      <w:r>
        <w:t xml:space="preserve"> </w:t>
      </w:r>
      <w:r>
        <w:rPr>
          <w:b/>
          <w:bCs/>
        </w:rPr>
        <w:t xml:space="preserve">Zoro U.S. +18.7%</w:t>
      </w:r>
      <w:r>
        <w:t xml:space="preserve">,</w:t>
      </w:r>
      <w:r>
        <w:t xml:space="preserve"> </w:t>
      </w:r>
      <w:r>
        <w:rPr>
          <w:b/>
          <w:bCs/>
        </w:rPr>
        <w:t xml:space="preserve">MonotaRO +24.3%</w:t>
      </w:r>
      <w:r>
        <w:t xml:space="preserve"> </w:t>
      </w:r>
      <w:r>
        <w:t xml:space="preserve">(local). Segment op margin jumped to 10.6% (+190 bps).</w:t>
      </w:r>
    </w:p>
    <w:p>
      <w:pPr>
        <w:pStyle w:val="Compact"/>
        <w:numPr>
          <w:ilvl w:val="0"/>
          <w:numId w:val="1004"/>
        </w:numPr>
      </w:pPr>
      <w:r>
        <w:rPr>
          <w:b/>
          <w:bCs/>
        </w:rPr>
        <w:t xml:space="preserve">Caveat:</w:t>
      </w:r>
      <w:r>
        <w:t xml:space="preserve"> </w:t>
      </w:r>
      <w:r>
        <w:t xml:space="preserve">MonotaRO benefited from a</w:t>
      </w:r>
      <w:r>
        <w:t xml:space="preserve"> </w:t>
      </w:r>
      <w:r>
        <w:rPr>
          <w:b/>
          <w:bCs/>
        </w:rPr>
        <w:t xml:space="preserve">competitor's cyber-outage traffic tailwind</w:t>
      </w:r>
      <w:r>
        <w:t xml:space="preserve"> </w:t>
      </w:r>
      <w:r>
        <w:t xml:space="preserve">that management said was</w:t>
      </w:r>
      <w:r>
        <w:t xml:space="preserve"> </w:t>
      </w:r>
      <w:r>
        <w:rPr>
          <w:i/>
          <w:iCs/>
        </w:rPr>
        <w:t xml:space="preserve">already waning</w:t>
      </w:r>
      <w:r>
        <w:t xml:space="preserve"> </w:t>
      </w:r>
      <w:r>
        <w:t xml:space="preserve">through Q1 — so watch for a growth-rate normalization in EA.</w:t>
      </w:r>
    </w:p>
    <w:p>
      <w:pPr>
        <w:pStyle w:val="Compact"/>
        <w:numPr>
          <w:ilvl w:val="0"/>
          <w:numId w:val="1004"/>
        </w:numPr>
      </w:pPr>
      <w:r>
        <w:t xml:space="preserve">FY EA op-margin guide was raised to 10.2–10.6%.</w:t>
      </w:r>
    </w:p>
    <w:p>
      <w:r>
        <w:pict>
          <v:rect style="width:0;height:1.5pt" o:hralign="center" o:hrstd="t" o:hr="t"/>
        </w:pict>
      </w:r>
    </w:p>
    <w:bookmarkEnd w:id="14"/>
    <w:bookmarkStart w:id="15" w:name="X1b8f1b6bf3d3ddd0e33e99b6ac8e79936c6a95c"/>
    <w:p>
      <w:pPr>
        <w:pStyle w:val="Heading2"/>
      </w:pPr>
      <w:r>
        <w:t xml:space="preserve">5. Guidance: is another raise coming?</w:t>
      </w:r>
    </w:p>
    <w:p>
      <w:pPr>
        <w:pStyle w:val="FirstParagraph"/>
      </w:pPr>
      <w:r>
        <w:t xml:space="preserve">Grainger</w:t>
      </w:r>
      <w:r>
        <w:t xml:space="preserve"> </w:t>
      </w:r>
      <w:r>
        <w:rPr>
          <w:i/>
          <w:iCs/>
        </w:rPr>
        <w:t xml:space="preserve">raised FY26 guidance at Q1</w:t>
      </w:r>
      <w:r>
        <w:t xml:space="preserve"> </w:t>
      </w:r>
      <w:r>
        <w:t xml:space="preserve">(the third straight strong print — the stock jumped ~5% on the Q1, Q4, and Q4-follow-through days):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guide (as of May 7)</w:t>
            </w:r>
          </w:p>
        </w:tc>
        <w:tc>
          <w:tcPr/>
          <w:p>
            <w:pPr>
              <w:pStyle w:val="Compact"/>
            </w:pPr>
            <w:r>
              <w:t xml:space="preserve">Range</w:t>
            </w:r>
          </w:p>
        </w:tc>
      </w:tr>
      <w:tr>
        <w:tc>
          <w:tcPr/>
          <w:p>
            <w:pPr>
              <w:pStyle w:val="Compact"/>
            </w:pPr>
            <w:r>
              <w:t xml:space="preserve">Net sales</w:t>
            </w:r>
          </w:p>
        </w:tc>
        <w:tc>
          <w:tcPr/>
          <w:p>
            <w:pPr>
              <w:pStyle w:val="Compact"/>
            </w:pPr>
            <m:oMath>
              <m:r>
                <m:t>19.2</m:t>
              </m:r>
              <m:r>
                <m:rPr>
                  <m:sty m:val="p"/>
                </m:rPr>
                <m:t>–</m:t>
              </m:r>
            </m:oMath>
            <w:r>
              <w:t xml:space="preserve">19.6B (organic cc +9.5–12%)</w:t>
            </w:r>
          </w:p>
        </w:tc>
      </w:tr>
      <w:tr>
        <w:tc>
          <w:tcPr/>
          <w:p>
            <w:pPr>
              <w:pStyle w:val="Compact"/>
            </w:pPr>
            <w:r>
              <w:t xml:space="preserve">Gross margin</w:t>
            </w:r>
          </w:p>
        </w:tc>
        <w:tc>
          <w:tcPr/>
          <w:p>
            <w:pPr>
              <w:pStyle w:val="Compact"/>
            </w:pPr>
            <w:r>
              <w:t xml:space="preserve">39.2–39.5%</w:t>
            </w:r>
          </w:p>
        </w:tc>
      </w:tr>
      <w:tr>
        <w:tc>
          <w:tcPr/>
          <w:p>
            <w:pPr>
              <w:pStyle w:val="Compact"/>
            </w:pPr>
            <w:r>
              <w:t xml:space="preserve">Operating margin</w:t>
            </w:r>
          </w:p>
        </w:tc>
        <w:tc>
          <w:tcPr/>
          <w:p>
            <w:pPr>
              <w:pStyle w:val="Compact"/>
            </w:pPr>
            <w:r>
              <w:t xml:space="preserve">15.6–16.0%</w:t>
            </w:r>
          </w:p>
        </w:tc>
      </w:tr>
      <w:tr>
        <w:tc>
          <w:tcPr/>
          <w:p>
            <w:pPr>
              <w:pStyle w:val="Compact"/>
            </w:pPr>
            <w:r>
              <w:rPr>
                <w:b/>
                <w:bCs/>
              </w:rPr>
              <w:t xml:space="preserve">Diluted EPS</w:t>
            </w:r>
          </w:p>
        </w:tc>
        <w:tc>
          <w:tcPr/>
          <w:p>
            <w:pPr>
              <w:pStyle w:val="Compact"/>
            </w:pPr>
            <m:oMath>
              <m:r>
                <m:t>44.25</m:t>
              </m:r>
              <m:r>
                <m:rPr>
                  <m:sty m:val="p"/>
                </m:rPr>
                <m:t>–</m:t>
              </m:r>
            </m:oMath>
            <w:r>
              <w:rPr>
                <w:b/>
                <w:bCs/>
              </w:rPr>
              <w:t xml:space="preserve">46.25</w:t>
            </w:r>
            <w:r>
              <w:t xml:space="preserve"> </w:t>
            </w:r>
            <w:r>
              <w:t xml:space="preserve">(~15% YoY at midpoint)</w:t>
            </w:r>
          </w:p>
        </w:tc>
      </w:tr>
      <w:tr>
        <w:tc>
          <w:tcPr/>
          <w:p>
            <w:pPr>
              <w:pStyle w:val="Compact"/>
            </w:pPr>
            <w:r>
              <w:t xml:space="preserve">Operating cash flow</w:t>
            </w:r>
          </w:p>
        </w:tc>
        <w:tc>
          <w:tcPr/>
          <w:p>
            <w:pPr>
              <w:pStyle w:val="Compact"/>
            </w:pPr>
            <m:oMath>
              <m:r>
                <m:t>2.2</m:t>
              </m:r>
              <m:r>
                <m:rPr>
                  <m:sty m:val="p"/>
                </m:rPr>
                <m:t>–</m:t>
              </m:r>
            </m:oMath>
            <w:r>
              <w:t xml:space="preserve">2.4B</w:t>
            </w:r>
          </w:p>
        </w:tc>
      </w:tr>
      <w:tr>
        <w:tc>
          <w:tcPr/>
          <w:p>
            <w:pPr>
              <w:pStyle w:val="Compact"/>
            </w:pPr>
            <w:r>
              <w:t xml:space="preserve">Buyback</w:t>
            </w:r>
          </w:p>
        </w:tc>
        <w:tc>
          <w:tcPr/>
          <w:p>
            <w:pPr>
              <w:pStyle w:val="Compact"/>
            </w:pPr>
            <m:oMath>
              <m:r>
                <m:t>0.95</m:t>
              </m:r>
              <m:r>
                <m:rPr>
                  <m:sty m:val="p"/>
                </m:rPr>
                <m:t>–</m:t>
              </m:r>
            </m:oMath>
            <w:r>
              <w:t xml:space="preserve">1.05B</w:t>
            </w:r>
          </w:p>
        </w:tc>
      </w:tr>
      <w:tr>
        <w:tc>
          <w:tcPr/>
          <w:p>
            <w:pPr>
              <w:pStyle w:val="Compact"/>
            </w:pPr>
            <w:r>
              <w:t xml:space="preserve">Tax rate</w:t>
            </w:r>
          </w:p>
        </w:tc>
        <w:tc>
          <w:tcPr/>
          <w:p>
            <w:pPr>
              <w:pStyle w:val="Compact"/>
            </w:pPr>
            <w:r>
              <w:t xml:space="preserve">~25.0%</w:t>
            </w:r>
          </w:p>
        </w:tc>
      </w:tr>
    </w:tbl>
    <w:p>
      <w:pPr>
        <w:pStyle w:val="BodyText"/>
      </w:pPr>
      <w:r>
        <w:t xml:space="preserve">With Q1 EPS of $11.65 (+18%) and April tracking ahead of the ~12% Q2 plan,</w:t>
      </w:r>
      <w:r>
        <w:t xml:space="preserve"> </w:t>
      </w:r>
      <w:r>
        <w:rPr>
          <w:b/>
          <w:bCs/>
        </w:rPr>
        <w:t xml:space="preserve">the market is likely positioned for another raise.</w:t>
      </w:r>
      <w:r>
        <w:t xml:space="preserve"> </w:t>
      </w:r>
      <w:r>
        <w:t xml:space="preserve">The risk: an incoming interim CFO plus known H2 fuel/private-label headwinds could make management hold guidance rather than raise — which, given the run-up, could disappoint. Note the</w:t>
      </w:r>
      <w:r>
        <w:t xml:space="preserve"> </w:t>
      </w:r>
      <w:r>
        <w:rPr>
          <w:b/>
          <w:bCs/>
        </w:rPr>
        <w:t xml:space="preserve">tax rate is a ~180 bps YoY headwind</w:t>
      </w:r>
      <w:r>
        <w:t xml:space="preserve"> </w:t>
      </w:r>
      <w:r>
        <w:t xml:space="preserve">to EPS growth (23.2% in Q2'25 → ~25% in 2026).</w:t>
      </w:r>
    </w:p>
    <w:p>
      <w:r>
        <w:pict>
          <v:rect style="width:0;height:1.5pt" o:hralign="center" o:hrstd="t" o:hr="t"/>
        </w:pict>
      </w:r>
    </w:p>
    <w:bookmarkEnd w:id="15"/>
    <w:bookmarkStart w:id="16" w:name="Xe62c219daf37812442ffb048a761d8953f57773"/>
    <w:p>
      <w:pPr>
        <w:pStyle w:val="Heading2"/>
      </w:pPr>
      <w:r>
        <w:t xml:space="preserve">6. Cost/tariff and other watch items</w:t>
      </w:r>
    </w:p>
    <w:p>
      <w:pPr>
        <w:pStyle w:val="Compact"/>
        <w:numPr>
          <w:ilvl w:val="0"/>
          <w:numId w:val="1005"/>
        </w:numPr>
      </w:pPr>
      <w:r>
        <w:rPr>
          <w:b/>
          <w:bCs/>
        </w:rPr>
        <w:t xml:space="preserve">Price/cost &amp; tariffs:</w:t>
      </w:r>
      <w:r>
        <w:t xml:space="preserve"> </w:t>
      </w:r>
      <w:r>
        <w:t xml:space="preserve">Grainger runs normal price cycles Jan/May/Sept and targets price/cost neutrality over time (LIFO). May actions were "net neutral." Watch for updated commentary on Section 232, Section 122 duties, and the</w:t>
      </w:r>
      <w:r>
        <w:t xml:space="preserve"> </w:t>
      </w:r>
      <w:r>
        <w:rPr>
          <w:b/>
          <w:bCs/>
        </w:rPr>
        <w:t xml:space="preserve">potential recovery of previously paid IEEPA tariffs</w:t>
      </w:r>
      <w:r>
        <w:t xml:space="preserve"> </w:t>
      </w:r>
      <w:r>
        <w:t xml:space="preserve">where Grainger is importer of record — a possible P&amp;L/gross-margin</w:t>
      </w:r>
      <w:r>
        <w:t xml:space="preserve"> </w:t>
      </w:r>
      <w:r>
        <w:rPr>
          <w:i/>
          <w:iCs/>
        </w:rPr>
        <w:t xml:space="preserve">tailwind</w:t>
      </w:r>
      <w:r>
        <w:t xml:space="preserve"> </w:t>
      </w:r>
      <w:r>
        <w:t xml:space="preserve">if it materializes.</w:t>
      </w:r>
    </w:p>
    <w:p>
      <w:pPr>
        <w:pStyle w:val="Compact"/>
        <w:numPr>
          <w:ilvl w:val="0"/>
          <w:numId w:val="1005"/>
        </w:numPr>
      </w:pPr>
      <w:r>
        <w:rPr>
          <w:b/>
          <w:bCs/>
        </w:rPr>
        <w:t xml:space="preserve">Fuel:</w:t>
      </w:r>
      <w:r>
        <w:t xml:space="preserve"> </w:t>
      </w:r>
      <w:r>
        <w:t xml:space="preserve">the key transitory Q2 margin drag; listen for whether Grainger has begun recapturing it via pricing.</w:t>
      </w:r>
    </w:p>
    <w:p>
      <w:pPr>
        <w:pStyle w:val="Compact"/>
        <w:numPr>
          <w:ilvl w:val="0"/>
          <w:numId w:val="1005"/>
        </w:numPr>
      </w:pPr>
      <w:r>
        <w:rPr>
          <w:b/>
          <w:bCs/>
        </w:rPr>
        <w:t xml:space="preserve">Japan/Middle East supply:</w:t>
      </w:r>
      <w:r>
        <w:t xml:space="preserve"> </w:t>
      </w:r>
      <w:r>
        <w:t xml:space="preserve">nitrile-glove and petroleum-based input strain flagged for MonotaRO (energy through the Strait of Hormuz); minimal in the U.S. so far but a supply/cost risk to monitor.</w:t>
      </w:r>
    </w:p>
    <w:p>
      <w:pPr>
        <w:pStyle w:val="Compact"/>
        <w:numPr>
          <w:ilvl w:val="0"/>
          <w:numId w:val="1005"/>
        </w:numPr>
      </w:pPr>
      <w:r>
        <w:rPr>
          <w:b/>
          <w:bCs/>
        </w:rPr>
        <w:t xml:space="preserve">Capital return:</w:t>
      </w:r>
      <w:r>
        <w:t xml:space="preserve"> </w:t>
      </w:r>
      <w:r>
        <w:t xml:space="preserve">10% dividend increase announced (55th consecutive year of increases); ~$345M returned in Q1. Balance sheet is clean.</w:t>
      </w:r>
    </w:p>
    <w:p>
      <w:r>
        <w:pict>
          <v:rect style="width:0;height:1.5pt" o:hralign="center" o:hrstd="t" o:hr="t"/>
        </w:pict>
      </w:r>
    </w:p>
    <w:bookmarkEnd w:id="16"/>
    <w:bookmarkStart w:id="17" w:name="X4304ffa0d801154f030a042720d58d251b8f014"/>
    <w:p>
      <w:pPr>
        <w:pStyle w:val="Heading2"/>
      </w:pPr>
      <w:r>
        <w:t xml:space="preserve">7. Valuation / positioning risk</w:t>
      </w:r>
    </w:p>
    <w:p>
      <w:pPr>
        <w:pStyle w:val="Compact"/>
        <w:numPr>
          <w:ilvl w:val="0"/>
          <w:numId w:val="1006"/>
        </w:numPr>
      </w:pPr>
      <w:r>
        <w:t xml:space="preserve">GWW closed **</w:t>
      </w:r>
      <m:oMath>
        <m:r>
          <m:t>1</m:t>
        </m:r>
        <m:r>
          <m:rPr>
            <m:sty m:val="p"/>
          </m:rPr>
          <m:t>,</m:t>
        </m:r>
        <m:r>
          <m:t>371</m:t>
        </m:r>
        <m:r>
          <m:rPr>
            <m:sty m:val="p"/>
          </m:rPr>
          <m:t>*</m:t>
        </m:r>
        <m:r>
          <m:rPr>
            <m:sty m:val="p"/>
          </m:rPr>
          <m:t>*</m:t>
        </m:r>
        <m:r>
          <m:t>o</m:t>
        </m:r>
        <m:r>
          <m:t>n</m:t>
        </m:r>
        <m:r>
          <m:t>A</m:t>
        </m:r>
        <m:r>
          <m:t>u</m:t>
        </m:r>
        <m:r>
          <m:t>g</m:t>
        </m:r>
        <m:r>
          <m:t>3</m:t>
        </m:r>
        <m:r>
          <m:rPr>
            <m:sty m:val="p"/>
          </m:rPr>
          <m:t>,</m:t>
        </m:r>
        <m:r>
          <m:rPr>
            <m:sty m:val="p"/>
          </m:rPr>
          <m:t>*</m:t>
        </m:r>
        <m:r>
          <m:rPr>
            <m:sty m:val="p"/>
          </m:rPr>
          <m:t>*</m:t>
        </m:r>
        <m:r>
          <m:t>u</m:t>
        </m:r>
        <m:r>
          <m:t>p</m:t>
        </m:r>
        <m:r>
          <m:t> </m:t>
        </m:r>
        <m:r>
          <m:t>37</m:t>
        </m:r>
      </m:oMath>
      <w:r>
        <w:t xml:space="preserve">1,402 on Jul 16). This is not a cheap or under-owned setup.</w:t>
      </w:r>
    </w:p>
    <w:p>
      <w:pPr>
        <w:pStyle w:val="Compact"/>
        <w:numPr>
          <w:ilvl w:val="0"/>
          <w:numId w:val="1006"/>
        </w:numPr>
      </w:pPr>
      <w:r>
        <w:t xml:space="preserve">Grainger has</w:t>
      </w:r>
      <w:r>
        <w:t xml:space="preserve"> </w:t>
      </w:r>
      <w:r>
        <w:rPr>
          <w:b/>
          <w:bCs/>
        </w:rPr>
        <w:t xml:space="preserve">beaten and popped ~5% on each of the last three prints</w:t>
      </w:r>
      <w:r>
        <w:t xml:space="preserve"> </w:t>
      </w:r>
      <w:r>
        <w:t xml:space="preserve">— so a simple "in-line beat + reiterated guide" may be a "sell-the-news" risk, especially layered on top of the CFO headline.</w:t>
      </w:r>
    </w:p>
    <w:p>
      <w:pPr>
        <w:pStyle w:val="Compact"/>
        <w:numPr>
          <w:ilvl w:val="0"/>
          <w:numId w:val="1006"/>
        </w:numPr>
      </w:pPr>
      <w:r>
        <w:t xml:space="preserve">Peers for context: Fastenal (FAST) has drifted lower over the past year while MSC Industrial (MSM) rallied hard — GWW has meaningfully outperformed both, reflecting its share-gain + margin-resilience narrative.</w:t>
      </w:r>
    </w:p>
    <w:p>
      <w:r>
        <w:pict>
          <v:rect style="width:0;height:1.5pt" o:hralign="center" o:hrstd="t" o:hr="t"/>
        </w:pict>
      </w:r>
    </w:p>
    <w:bookmarkEnd w:id="17"/>
    <w:bookmarkStart w:id="18" w:name="bottom-line--what-will-move-the-stock"/>
    <w:p>
      <w:pPr>
        <w:pStyle w:val="Heading2"/>
      </w:pPr>
      <w:r>
        <w:t xml:space="preserve">Bottom line — what will move the stock</w:t>
      </w:r>
    </w:p>
    <w:p>
      <w:pPr>
        <w:pStyle w:val="Compact"/>
        <w:numPr>
          <w:ilvl w:val="0"/>
          <w:numId w:val="1007"/>
        </w:numPr>
      </w:pPr>
      <w:r>
        <w:rPr>
          <w:b/>
          <w:bCs/>
        </w:rPr>
        <w:t xml:space="preserve">CFO transition tone</w:t>
      </w:r>
      <w:r>
        <w:t xml:space="preserve"> </w:t>
      </w:r>
      <w:r>
        <w:t xml:space="preserve">— does the "no disagreement" framing hold, and is there confidence in the handoff?</w:t>
      </w:r>
    </w:p>
    <w:p>
      <w:pPr>
        <w:pStyle w:val="Compact"/>
        <w:numPr>
          <w:ilvl w:val="0"/>
          <w:numId w:val="1007"/>
        </w:numPr>
      </w:pPr>
      <w:r>
        <w:rPr>
          <w:b/>
          <w:bCs/>
        </w:rPr>
        <w:t xml:space="preserve">Margin trajectory</w:t>
      </w:r>
      <w:r>
        <w:t xml:space="preserve"> </w:t>
      </w:r>
      <w:r>
        <w:t xml:space="preserve">— confirmation that Q2 is the U-shape trough (low-15% op margin) and H2 recovers, not a structural erosion.</w:t>
      </w:r>
    </w:p>
    <w:p>
      <w:pPr>
        <w:pStyle w:val="Compact"/>
        <w:numPr>
          <w:ilvl w:val="0"/>
          <w:numId w:val="1007"/>
        </w:numPr>
      </w:pPr>
      <w:r>
        <w:rPr>
          <w:b/>
          <w:bCs/>
        </w:rPr>
        <w:t xml:space="preserve">Demand durability</w:t>
      </w:r>
      <w:r>
        <w:t xml:space="preserve"> </w:t>
      </w:r>
      <w:r>
        <w:t xml:space="preserve">— did the +13% April organic pace persist, and is the MRO volume inflection real?</w:t>
      </w:r>
    </w:p>
    <w:p>
      <w:pPr>
        <w:pStyle w:val="Compact"/>
        <w:numPr>
          <w:ilvl w:val="0"/>
          <w:numId w:val="1007"/>
        </w:numPr>
      </w:pPr>
      <w:r>
        <w:rPr>
          <w:b/>
          <w:bCs/>
        </w:rPr>
        <w:t xml:space="preserve">Guidance</w:t>
      </w:r>
      <w:r>
        <w:t xml:space="preserve"> </w:t>
      </w:r>
      <w:r>
        <w:t xml:space="preserve">— another raise (bull case) vs. a conservative hold under an interim CFO (potential disappointment given the valuation).</w:t>
      </w:r>
    </w:p>
    <w:p>
      <w:pPr>
        <w:pStyle w:val="FirstParagraph"/>
      </w:pPr>
      <w:r>
        <w:t xml:space="preserve">Given the run into the print and the fresh CFO news, the risk/reward looks asymmetric short-term: a clean beat may already be discounted, while any wobble on margins, demand cadence, or leadership confidence could trigger an outsized pullback from near-record levels.</w:t>
      </w:r>
    </w:p>
    <w:p>
      <w:pPr>
        <w:pStyle w:val="BodyText"/>
      </w:pPr>
      <w:r>
        <w:rPr>
          <w:i/>
          <w:iCs/>
        </w:rPr>
        <w:t xml:space="preserve">(Numbers and management commentary above are drawn from Grainger's Q1 2026 earnings release and call, the Q2 2025 release, the Aug 3, 2026 Item 5.02 8-K, and historical price data. This is an informational preview, not investment advice.)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2026-08-04T01:17:32Z</dcterms:created>
  <dcterms:modified xsi:type="dcterms:W3CDTF">2026-08-04T01:17:32Z</dcterms:modified>
</cp:coreProperties>
</file>

<file path=docProps/custom.xml><?xml version="1.0" encoding="utf-8"?>
<Properties xmlns="http://schemas.openxmlformats.org/officeDocument/2006/custom-properties" xmlns:vt="http://schemas.openxmlformats.org/officeDocument/2006/docPropsVTypes"/>
</file>