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ww-grainger-gww-q2-2026-earnings-preview"/>
    <w:p>
      <w:pPr>
        <w:pStyle w:val="Heading1"/>
      </w:pPr>
      <w:r>
        <w:t xml:space="preserve">W.W. Grainger (GWW) Q2 2026 Earnings Preview</w:t>
      </w:r>
    </w:p>
    <w:p>
      <w:pPr>
        <w:pStyle w:val="FirstParagraph"/>
      </w:pPr>
      <w:r>
        <w:rPr>
          <w:b/>
          <w:bCs/>
        </w:rPr>
        <w:t xml:space="preserve">Report Date:</w:t>
      </w:r>
      <w:r>
        <w:t xml:space="preserve"> </w:t>
      </w:r>
      <w:r>
        <w:t xml:space="preserve">Tuesday, August 4, 2026, before market open | Call at 11:00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Consensus</w:t>
            </w:r>
          </w:p>
        </w:tc>
        <w:tc>
          <w:tcPr/>
          <w:p>
            <w:pPr>
              <w:pStyle w:val="Compact"/>
            </w:pPr>
            <w:r>
              <w:t xml:space="preserve">Prior Guide (Q1 call, May 7)</w:t>
            </w:r>
          </w:p>
        </w:tc>
      </w:tr>
      <w:tr>
        <w:tc>
          <w:tcPr/>
          <w:p>
            <w:pPr>
              <w:pStyle w:val="Compact"/>
            </w:pPr>
            <w:r>
              <w:t xml:space="preserve">Revenue</w:t>
            </w:r>
          </w:p>
        </w:tc>
        <w:tc>
          <w:tcPr/>
          <w:p>
            <w:pPr>
              <w:pStyle w:val="Compact"/>
            </w:pPr>
            <w:r>
              <w:t xml:space="preserve">~$4.95–4.96B (+8.8–9% y/y)</w:t>
            </w:r>
          </w:p>
        </w:tc>
        <w:tc>
          <w:tcPr/>
          <w:p>
            <w:pPr>
              <w:pStyle w:val="Compact"/>
            </w:pPr>
            <w:r>
              <w:t xml:space="preserve">"north of $4.9B," ~12% daily organic constant-currency growth</w:t>
            </w:r>
          </w:p>
        </w:tc>
      </w:tr>
      <w:tr>
        <w:tc>
          <w:tcPr/>
          <w:p>
            <w:pPr>
              <w:pStyle w:val="Compact"/>
            </w:pPr>
            <w:r>
              <w:t xml:space="preserve">EPS</w:t>
            </w:r>
          </w:p>
        </w:tc>
        <w:tc>
          <w:tcPr/>
          <w:p>
            <w:pPr>
              <w:pStyle w:val="Compact"/>
            </w:pPr>
            <w:r>
              <w:t xml:space="preserve">~</w:t>
            </w:r>
            <m:oMath>
              <m:r>
                <m:t>11.28</m:t>
              </m:r>
              <m:r>
                <m:rPr>
                  <m:sty m:val="p"/>
                </m:rPr>
                <m:t>–</m:t>
              </m:r>
            </m:oMath>
            <w:r>
              <w:t xml:space="preserve">11.30 (+13% y/y)</w:t>
            </w:r>
          </w:p>
        </w:tc>
        <w:tc>
          <w:tcPr/>
          <w:p>
            <w:pPr>
              <w:pStyle w:val="Compact"/>
            </w:pPr>
            <w:r>
              <w:t xml:space="preserve">Full-year:</w:t>
            </w:r>
            <w:r>
              <w:t xml:space="preserve"> </w:t>
            </w:r>
            <m:oMath>
              <m:r>
                <m:t>44.25</m:t>
              </m:r>
              <m:r>
                <m:rPr>
                  <m:sty m:val="p"/>
                </m:rPr>
                <m:t>–</m:t>
              </m:r>
            </m:oMath>
            <w:r>
              <w:t xml:space="preserve">46.25</w:t>
            </w:r>
          </w:p>
        </w:tc>
      </w:tr>
      <w:tr>
        <w:tc>
          <w:tcPr/>
          <w:p>
            <w:pPr>
              <w:pStyle w:val="Compact"/>
            </w:pPr>
            <w:r>
              <w:t xml:space="preserve">Operating margin</w:t>
            </w:r>
          </w:p>
        </w:tc>
        <w:tc>
          <w:tcPr/>
          <w:p>
            <w:pPr>
              <w:pStyle w:val="Compact"/>
            </w:pPr>
            <w:r>
              <w:t xml:space="preserve">—</w:t>
            </w:r>
          </w:p>
        </w:tc>
        <w:tc>
          <w:tcPr/>
          <w:p>
            <w:pPr>
              <w:pStyle w:val="Compact"/>
            </w:pPr>
            <w:r>
              <w:t xml:space="preserve">"Low 15% range" for total company</w:t>
            </w:r>
          </w:p>
        </w:tc>
      </w:tr>
    </w:tbl>
    <w:p>
      <w:pPr>
        <w:pStyle w:val="BodyText"/>
      </w:pPr>
      <w:r>
        <w:t xml:space="preserve">Grainger heads into Tuesday's print near 52-week highs (~$1,371–1,382, vs. a 52-week range of</w:t>
      </w:r>
      <w:r>
        <w:t xml:space="preserve"> </w:t>
      </w:r>
      <m:oMath>
        <m:r>
          <m:t>906.52</m:t>
        </m:r>
        <m:r>
          <m:rPr>
            <m:sty m:val="p"/>
          </m:rPr>
          <m:t>–</m:t>
        </m:r>
      </m:oMath>
      <w:r>
        <w:t xml:space="preserve">1,419.91), up roughly 31% over the past year, and trading around 30x forward earnings — well above its five-year median multiple near 22x.</w:t>
      </w:r>
    </w:p>
    <w:bookmarkEnd w:id="9"/>
    <w:bookmarkStart w:id="10" w:name="Xe6b8c3a80775adf5018223c31b3ff3f76239bce"/>
    <w:p>
      <w:pPr>
        <w:pStyle w:val="Heading2"/>
      </w:pPr>
      <w:r>
        <w:t xml:space="preserve">What Happened Last Quarter (Q1 2026) — Setting the Bar High</w:t>
      </w:r>
    </w:p>
    <w:p>
      <w:pPr>
        <w:pStyle w:val="FirstParagraph"/>
      </w:pPr>
      <w:r>
        <w:t xml:space="preserve">Grainger's first quarter was unambiguously strong and materially reset expectations upward. Total sales rose 10.1% (12.2% on a daily organic constant-currency basis), operating margin expanded 110 bps to 16.7%, and diluted EPS grew 18.2% to $11.65, blowing past the $10.21 Street estimate by roughly 14%. Both segments contributed: High-Touch Solutions N.A. grew sales 10.5% with roughly equal price/volume contribution, while Endless Assortment (Zoro + MonotaRO) surged 19.6% reported (21.9% organic constant-currency), aided partly by a competitor's cyber outage that temporarily boosted MonotaRO traffic. Management raised full-year 2026 guidance meaningfully — daily organic constant-currency sales growth to 9.5%–12% (from 6.5%–9.0%) and EPS to</w:t>
      </w:r>
      <w:r>
        <w:t xml:space="preserve"> </w:t>
      </w:r>
      <m:oMath>
        <m:r>
          <m:t>44.25</m:t>
        </m:r>
        <m:r>
          <m:rPr>
            <m:sty m:val="p"/>
          </m:rPr>
          <m:t>–</m:t>
        </m:r>
      </m:oMath>
      <w:r>
        <w:t xml:space="preserve">46.25 (from</w:t>
      </w:r>
      <w:r>
        <w:t xml:space="preserve"> </w:t>
      </w:r>
      <m:oMath>
        <m:r>
          <m:t>42.25</m:t>
        </m:r>
        <m:r>
          <m:rPr>
            <m:sty m:val="p"/>
          </m:rPr>
          <m:t>–</m:t>
        </m:r>
      </m:oMath>
      <w:r>
        <w:t xml:space="preserve">44.75), a $1.75 increase at the midpoint.</w:t>
      </w:r>
    </w:p>
    <w:bookmarkEnd w:id="10"/>
    <w:bookmarkStart w:id="11" w:name="Xa020fee0e0f57822e971ac17f0ec2a95f722bba"/>
    <w:p>
      <w:pPr>
        <w:pStyle w:val="Heading2"/>
      </w:pPr>
      <w:r>
        <w:t xml:space="preserve">Management's Own Q2 Guidance — The Real Bar to Watch</w:t>
      </w:r>
    </w:p>
    <w:p>
      <w:pPr>
        <w:pStyle w:val="FirstParagraph"/>
      </w:pPr>
      <w:r>
        <w:t xml:space="preserve">Rather than consensus, the most important reference point is what CFO Dee Merriwether laid out on the Q1 call:</w:t>
      </w:r>
    </w:p>
    <w:p>
      <w:pPr>
        <w:pStyle w:val="Compact"/>
        <w:numPr>
          <w:ilvl w:val="0"/>
          <w:numId w:val="1001"/>
        </w:numPr>
      </w:pPr>
      <w:r>
        <w:t xml:space="preserve">Preliminary April sales were up "north of 13%" on a daily organic constant currency basis.</w:t>
      </w:r>
    </w:p>
    <w:p>
      <w:pPr>
        <w:pStyle w:val="Compact"/>
        <w:numPr>
          <w:ilvl w:val="0"/>
          <w:numId w:val="1001"/>
        </w:numPr>
      </w:pPr>
      <w:r>
        <w:t xml:space="preserve">Q2 sales guided to "north of $4.9 billion," or approaching 12% daily organic constant currency growth (330 bps lower on a reported basis after normalizing for the UK exit and FX).</w:t>
      </w:r>
    </w:p>
    <w:p>
      <w:pPr>
        <w:pStyle w:val="Compact"/>
        <w:numPr>
          <w:ilvl w:val="0"/>
          <w:numId w:val="1001"/>
        </w:numPr>
      </w:pPr>
      <w:r>
        <w:t xml:space="preserve">Operating margin guided to step down sequentially into the "low 15% range," driven by three factors: (1) normal seasonality as the January price increase bleeds off through the year, (2) a shift of private-label inventory cost pressure that didn't hit in Q1 as expected (private label is on FIFO vs. the company's largely LIFO base) — now expected to land in Q2, sized at ~20 bps in Q1 terms, and (3) a new, previously unbudgeted headwind from rising diesel/fuel costs tied to Middle East-driven pressure, which is harder to pass through given free-parcel-shipping terms with large contract customers.</w:t>
      </w:r>
    </w:p>
    <w:p>
      <w:pPr>
        <w:pStyle w:val="Compact"/>
        <w:numPr>
          <w:ilvl w:val="0"/>
          <w:numId w:val="1001"/>
        </w:numPr>
      </w:pPr>
      <w:r>
        <w:t xml:space="preserve">Management described the full-year gross margin cadence as now "more of a U-shape" rather than a smooth decline-then-rebound, given the Q1 outperformance and Q2 give-back.</w:t>
      </w:r>
    </w:p>
    <w:p>
      <w:pPr>
        <w:pStyle w:val="FirstParagraph"/>
      </w:pPr>
      <w:r>
        <w:rPr>
          <w:b/>
          <w:bCs/>
        </w:rPr>
        <w:t xml:space="preserve">Key question for Tuesday:</w:t>
      </w:r>
      <w:r>
        <w:t xml:space="preserve"> </w:t>
      </w:r>
      <w:r>
        <w:t xml:space="preserve">Did Grainger's momentum (April's 13%+ run rate) continue into May/June, and did the margin step-down materialize roughly as sized, or was there upside/downside surprise on price realization, private-label costs, or fuel leakage?</w:t>
      </w:r>
    </w:p>
    <w:bookmarkEnd w:id="11"/>
    <w:bookmarkStart w:id="12" w:name="fresh-overnight-news-cfo-transition"/>
    <w:p>
      <w:pPr>
        <w:pStyle w:val="Heading2"/>
      </w:pPr>
      <w:r>
        <w:t xml:space="preserve">Fresh Overnight News: CFO Transition</w:t>
      </w:r>
    </w:p>
    <w:p>
      <w:pPr>
        <w:pStyle w:val="FirstParagraph"/>
      </w:pPr>
      <w:r>
        <w:t xml:space="preserve">One day before earnings (August 3), Grainger disclosed that CFO Deidra Merriwether will resign effective September 4, 2026, to pursue another opportunity, with the resignation stated as not related to any disagreement over financials, controls or accounting. Controller Laurie Thomson (with the company since 2004 in various finance/audit roles) was named interim CFO effective September 5, with a base salary increase to $500,000 and a $750,000 RSU grant. This is a governance/succession event investors will likely probe on the call — timing right before earnings and guidance for the back half is unusual and may draw analyst questions about continuity of the "price/cost neutrality" and capital allocation framework Merriwether had been articulating.</w:t>
      </w:r>
    </w:p>
    <w:bookmarkEnd w:id="12"/>
    <w:bookmarkStart w:id="13" w:name="X3d626fc0f82192af703fdcd3eb0a4675e0a4fc9"/>
    <w:p>
      <w:pPr>
        <w:pStyle w:val="Heading2"/>
      </w:pPr>
      <w:r>
        <w:t xml:space="preserve">Themes and Debates Heading Into the Print</w:t>
      </w:r>
    </w:p>
    <w:p>
      <w:pPr>
        <w:pStyle w:val="Compact"/>
        <w:numPr>
          <w:ilvl w:val="0"/>
          <w:numId w:val="1002"/>
        </w:numPr>
      </w:pPr>
      <w:r>
        <w:rPr>
          <w:b/>
          <w:bCs/>
        </w:rPr>
        <w:t xml:space="preserve">Pricing power and tariff pass-through.</w:t>
      </w:r>
      <w:r>
        <w:t xml:space="preserve"> </w:t>
      </w:r>
      <w:r>
        <w:t xml:space="preserve">Management has maintained price/cost neutrality as its long-term target through the tariff cycle (January, May, and September are the normal pricing windows), with January 2026 pricing net positive (offsetting delayed 2025 tariff costs and negotiated supplier increases, net of a partial Chinese tariff rollback) and May pricing "net neutral." The Q1 call flagged only modest expected impact from the Supreme Court's IEEPA tariff ruling and Section 232 modifications. Analysts will want an update on September pricing plans and whether private-label vs. national-brand cost-spread compression (which shifted some purchases toward branded product) has stabilized.</w:t>
      </w:r>
    </w:p>
    <w:p>
      <w:pPr>
        <w:pStyle w:val="Compact"/>
        <w:numPr>
          <w:ilvl w:val="0"/>
          <w:numId w:val="1002"/>
        </w:numPr>
      </w:pPr>
      <w:r>
        <w:rPr>
          <w:b/>
          <w:bCs/>
        </w:rPr>
        <w:t xml:space="preserve">Market share gains vs. end-market recovery.</w:t>
      </w:r>
      <w:r>
        <w:t xml:space="preserve"> </w:t>
      </w:r>
      <w:r>
        <w:t xml:space="preserve">Management characterized the MRO market as inflecting from a multi-year negative volume trend to slightly positive in Q1, layered on top of company-specific share gains from sales-force additions (net adds of 60–120 reps/year), contract wins, and improved customer data/coverage. Investors will look for confirmation that broad-based end-market acceleration (manufacturing, government, contractor, agriculture) persisted through Q2.</w:t>
      </w:r>
    </w:p>
    <w:p>
      <w:pPr>
        <w:pStyle w:val="Compact"/>
        <w:numPr>
          <w:ilvl w:val="0"/>
          <w:numId w:val="1002"/>
        </w:numPr>
      </w:pPr>
      <w:r>
        <w:rPr>
          <w:b/>
          <w:bCs/>
        </w:rPr>
        <w:t xml:space="preserve">Margin sustainability at a premium multiple.</w:t>
      </w:r>
      <w:r>
        <w:t xml:space="preserve"> </w:t>
      </w:r>
      <w:r>
        <w:t xml:space="preserve">With shares trading near record highs and well above historical multiples, the market is testing whether upside from Endless Assortment (Zoro margin improvement, MonotaRO's 12%+ margins) and High-Touch operating leverage can keep justifying the valuation, or whether the "digital transformation" re-rating of the past two years is now fully priced in. Sell-side sentiment is mixed: consensus rating is roughly "Hold," with a mean price target (~</w:t>
      </w:r>
      <m:oMath>
        <m:r>
          <m:t>1</m:t>
        </m:r>
        <m:r>
          <m:rPr>
            <m:sty m:val="p"/>
          </m:rPr>
          <m:t>,</m:t>
        </m:r>
        <m:r>
          <m:t>266</m:t>
        </m:r>
        <m:r>
          <m:rPr>
            <m:sty m:val="p"/>
          </m:rPr>
          <m:t>–</m:t>
        </m:r>
      </m:oMath>
      <w:r>
        <w:t xml:space="preserve">1,292) below the current share price, even as several firms (four "Strong Buy" ratings among 18 covering analysts per one tally) remain bullish; Stephens downgraded to Equal-Weight in mid-July after shares hit its prior $1,355 target, citing one of the company's highest-ever valuation premiums versus the S&amp;P 500.</w:t>
      </w:r>
    </w:p>
    <w:p>
      <w:pPr>
        <w:pStyle w:val="Compact"/>
        <w:numPr>
          <w:ilvl w:val="0"/>
          <w:numId w:val="1002"/>
        </w:numPr>
      </w:pPr>
      <w:r>
        <w:rPr>
          <w:b/>
          <w:bCs/>
        </w:rPr>
        <w:t xml:space="preserve">Middle East conflict spillover.</w:t>
      </w:r>
      <w:r>
        <w:t xml:space="preserve"> </w:t>
      </w:r>
      <w:r>
        <w:t xml:space="preserve">Beyond fuel/diesel cost leakage in North America, management flagged supply pressure on certain raw material inputs (e.g., nitrile-glove inputs) and noted MonotaRO/Japan is more exposed given the region's energy reliance routed through the Strait of Hormuz, with some early evidence of customer buy-ahead behavior in Japan (not seen in the U.S.).</w:t>
      </w:r>
    </w:p>
    <w:p>
      <w:pPr>
        <w:pStyle w:val="Compact"/>
        <w:numPr>
          <w:ilvl w:val="0"/>
          <w:numId w:val="1002"/>
        </w:numPr>
      </w:pPr>
      <w:r>
        <w:rPr>
          <w:b/>
          <w:bCs/>
        </w:rPr>
        <w:t xml:space="preserve">Capacity investment.</w:t>
      </w:r>
      <w:r>
        <w:t xml:space="preserve"> </w:t>
      </w:r>
      <w:r>
        <w:t xml:space="preserve">Grainger continues to invest in distribution capacity (Portland facility ramping in 2026; a large new Houston facility targeted for 2028) — incremental color on capex pacing and the</w:t>
      </w:r>
      <w:r>
        <w:t xml:space="preserve"> </w:t>
      </w:r>
      <m:oMath>
        <m:r>
          <m:t>0.55</m:t>
        </m:r>
        <m:r>
          <m:rPr>
            <m:sty m:val="p"/>
          </m:rPr>
          <m:t>–</m:t>
        </m:r>
      </m:oMath>
      <w:r>
        <w:t xml:space="preserve">0.65B guided capex range could surface.</w:t>
      </w:r>
    </w:p>
    <w:bookmarkEnd w:id="13"/>
    <w:bookmarkStart w:id="14" w:name="peer-read-through"/>
    <w:p>
      <w:pPr>
        <w:pStyle w:val="Heading2"/>
      </w:pPr>
      <w:r>
        <w:t xml:space="preserve">Peer Read-Through</w:t>
      </w:r>
    </w:p>
    <w:p>
      <w:pPr>
        <w:pStyle w:val="FirstParagraph"/>
      </w:pPr>
      <w:r>
        <w:t xml:space="preserve">Distribution peers that have already reported Q2 offer a favorable backdrop: WESCO posted 13% y/y revenue growth (beating estimates by ~3.7%) and MSC Industrial grew revenue 7.8% (topping estimates by ~1.3%); both stocks rose post-print (WESCO +11%, MSC +3.2%), suggesting a constructive industrial-distribution demand environment heading into Grainger's own report.</w:t>
      </w:r>
    </w:p>
    <w:bookmarkEnd w:id="14"/>
    <w:bookmarkStart w:id="15" w:name="bottom-line-for-investors"/>
    <w:p>
      <w:pPr>
        <w:pStyle w:val="Heading2"/>
      </w:pPr>
      <w:r>
        <w:t xml:space="preserve">Bottom Line for Investors</w:t>
      </w:r>
    </w:p>
    <w:p>
      <w:pPr>
        <w:pStyle w:val="FirstParagraph"/>
      </w:pPr>
      <w:r>
        <w:t xml:space="preserve">Grainger enters this print with high expectations after a blow-out Q1 and a raised full-year guide, and shares have run hard (up sharply since May and trading at a rich multiple versus history). The setup argues for a "high bar" dynamic: modest upside on revenue/share-gain trends may be needed just to sustain the stock, while any confirmation of the guided Q2 margin step-down (private-label FIFO cost timing, fuel leakage, normal seasonality) should be viewed as in-line rather than negative unless it's materially worse than sized. The last-minute CFO resignation adds a modest wildcard on messaging continuity, though it was framed as personal and unrelated to the numbers. Watch specifically for: the reported vs. guided sales/margin cadence, updated full-year guidance (any further raise given consensus already near the top of the prior range), fresh commentary on tariff/pricing actions, fuel-cost trajectory, and any change in second-half margin "U-shape" framing.</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2026-08-04T01:15:49Z</dcterms:created>
  <dcterms:modified xsi:type="dcterms:W3CDTF">2026-08-04T01:15:49Z</dcterms:modified>
</cp:coreProperties>
</file>

<file path=docProps/custom.xml><?xml version="1.0" encoding="utf-8"?>
<Properties xmlns="http://schemas.openxmlformats.org/officeDocument/2006/custom-properties" xmlns:vt="http://schemas.openxmlformats.org/officeDocument/2006/docPropsVTypes"/>
</file>