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ww-earnings-predictions--2026-08-04"/>
    <w:p>
      <w:pPr>
        <w:pStyle w:val="Heading1"/>
      </w:pPr>
      <w:r>
        <w:t xml:space="preserve">GWW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~$5.03B vs. cons $4.95B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~$11.58 vs. cons $11.28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~15.3% vs. cons 15.2%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~$19.55B vs. cons $19.50B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~$46.25 vs. cons $45.75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margin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~15.8% vs. cons 15.8%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+1.4% (FADE)</w:t>
            </w:r>
          </w:p>
        </w:tc>
        <w:tc>
          <w:tcPr/>
          <w:p>
            <w:pPr>
              <w:pStyle w:val="Compact"/>
            </w:pPr>
            <w:r>
              <w:t xml:space="preserve">The initial revenue/EPS beat and modest FY2026 raise support a positive day-1 reaction, but the guide likely absorbs mainly the Q2 upside: guide ~$46.25 vs. cons $45.75 implies limited incremental 2H estimate upside, while low-15% Q2 margins, price-heavy growth, premium valuation and CFO-transition optics encourage a partial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2026-08-04T01:16:11Z</dcterms:created>
  <dcterms:modified xsi:type="dcterms:W3CDTF">2026-08-04T01:16:11Z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