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gww-2026q2-earnings-preview"/>
    <w:p>
      <w:pPr>
        <w:pStyle w:val="Heading1"/>
      </w:pPr>
      <w:r>
        <w:t xml:space="preserve">GWW 2026Q2 Earnings Preview</w:t>
      </w:r>
    </w:p>
    <w:p>
      <w:pPr>
        <w:pStyle w:val="BlockText"/>
      </w:pPr>
      <w:r>
        <w:rPr>
          <w:b/>
          <w:bCs/>
        </w:rPr>
        <w:t xml:space="preserve">Timing note:</w:t>
      </w:r>
      <w:r>
        <w:t xml:space="preserve"> </w:t>
      </w:r>
      <w:r>
        <w:t xml:space="preserve">Grainger’s investor calendar schedules the Q2 release for</w:t>
      </w:r>
      <w:r>
        <w:t xml:space="preserve"> </w:t>
      </w:r>
      <w:r>
        <w:rPr>
          <w:b/>
          <w:bCs/>
        </w:rPr>
        <w:t xml:space="preserve">Tuesday, August 4, 2026 at 7:00 a.m. CT</w:t>
      </w:r>
      <w:r>
        <w:t xml:space="preserve">, followed by the conference call at</w:t>
      </w:r>
      <w:r>
        <w:t xml:space="preserve"> </w:t>
      </w:r>
      <w:r>
        <w:rPr>
          <w:b/>
          <w:bCs/>
        </w:rPr>
        <w:t xml:space="preserve">10:00 a.m. CT</w:t>
      </w:r>
      <w:r>
        <w:t xml:space="preserve">. Thus, the stated event date is</w:t>
      </w:r>
      <w:r>
        <w:t xml:space="preserve"> </w:t>
      </w:r>
      <w:r>
        <w:rPr>
          <w:b/>
          <w:bCs/>
        </w:rPr>
        <w:t xml:space="preserve">today, not tomorrow</w:t>
      </w:r>
      <w:r>
        <w:t xml:space="preserve">. This preview is written on a pre-release basis because Q2 results were not yet available in the reviewed sources. (</w:t>
      </w:r>
      <w:hyperlink r:id="rId9">
        <w:r>
          <w:rPr>
            <w:rStyle w:val="Hyperlink"/>
          </w:rPr>
          <w:t xml:space="preserve">invest.grainger.com</w:t>
        </w:r>
      </w:hyperlink>
      <w:r>
        <w:t xml:space="preserve">)</w:t>
      </w:r>
    </w:p>
    <w:bookmarkStart w:id="11" w:name="investment-setup"/>
    <w:p>
      <w:pPr>
        <w:pStyle w:val="Heading2"/>
      </w:pPr>
      <w:r>
        <w:t xml:space="preserve">Investment setup</w:t>
      </w:r>
    </w:p>
    <w:p>
      <w:pPr>
        <w:pStyle w:val="FirstParagraph"/>
      </w:pPr>
      <w:r>
        <w:t xml:space="preserve">Grainger enters Q2 with substantial operating momentum—but also a much higher bar.</w:t>
      </w:r>
    </w:p>
    <w:p>
      <w:pPr>
        <w:pStyle w:val="BodyText"/>
      </w:pPr>
      <w:r>
        <w:t xml:space="preserve">First-quarter sales grew 10.1% to $4.74 billion, daily organic constant-currency growth reached 12.2%, operating margin expanded 110 basis points to 16.7%, and EPS increased 18.2% to $11.65. Management raised its full-year outlook after the quarter. (</w:t>
      </w:r>
      <w:hyperlink r:id="rId10">
        <w:r>
          <w:rPr>
            <w:rStyle w:val="Hyperlink"/>
          </w:rPr>
          <w:t xml:space="preserve">invest.grainger.com</w:t>
        </w:r>
      </w:hyperlink>
      <w:r>
        <w:t xml:space="preserve">)</w:t>
      </w:r>
    </w:p>
    <w:p>
      <w:pPr>
        <w:pStyle w:val="BodyText"/>
      </w:pPr>
      <w:r>
        <w:t xml:space="preserve">The stock closed August 3 at $1,371.29, approximately</w:t>
      </w:r>
      <w:r>
        <w:t xml:space="preserve"> </w:t>
      </w:r>
      <w:r>
        <w:rPr>
          <w:b/>
          <w:bCs/>
        </w:rPr>
        <w:t xml:space="preserve">11% above its May 7 post-Q1 close</w:t>
      </w:r>
      <w:r>
        <w:t xml:space="preserve"> </w:t>
      </w:r>
      <w:r>
        <w:t xml:space="preserve">and 17% above the closing price immediately before the report. At roughly</w:t>
      </w:r>
      <w:r>
        <w:t xml:space="preserve"> </w:t>
      </w:r>
      <w:r>
        <w:rPr>
          <w:b/>
          <w:bCs/>
        </w:rPr>
        <w:t xml:space="preserve">30 times the current 2026 EPS consensus</w:t>
      </w:r>
      <w:r>
        <w:t xml:space="preserve">, investors are already paying for sustained share gains, successful price-cost management and continued margin execution. Accordingly, the reaction may depend more on guidance and the underlying quality of growth than on a modest headline beat.</w:t>
      </w:r>
    </w:p>
    <w:bookmarkEnd w:id="11"/>
    <w:bookmarkStart w:id="13" w:name="expectations"/>
    <w:p>
      <w:pPr>
        <w:pStyle w:val="Heading2"/>
      </w:pPr>
      <w:r>
        <w:t xml:space="preserve">Expectations</w:t>
      </w:r>
    </w:p>
    <w:p>
      <w:pPr>
        <w:pStyle w:val="FirstParagraph"/>
      </w:pPr>
      <w:r>
        <w:t xml:space="preserve">Published estimates vary slightly by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Approximate expectation</w:t>
            </w:r>
          </w:p>
        </w:tc>
        <w:tc>
          <w:tcPr/>
          <w:p>
            <w:pPr>
              <w:pStyle w:val="Compact"/>
              <w:jc w:val="right"/>
            </w:pPr>
            <w:r>
              <w:t xml:space="preserve">Q2 2025</w:t>
            </w:r>
          </w:p>
        </w:tc>
        <w:tc>
          <w:tcPr/>
          <w:p>
            <w:pPr>
              <w:pStyle w:val="Compact"/>
              <w:jc w:val="right"/>
            </w:pPr>
            <w:r>
              <w:t xml:space="preserve">Implied growth</w:t>
            </w:r>
          </w:p>
        </w:tc>
      </w:tr>
      <w:tr>
        <w:tc>
          <w:tcPr/>
          <w:p>
            <w:pPr>
              <w:pStyle w:val="Compact"/>
            </w:pPr>
            <w:r>
              <w:t xml:space="preserve">Revenue</w:t>
            </w:r>
          </w:p>
        </w:tc>
        <w:tc>
          <w:tcPr/>
          <w:p>
            <w:pPr>
              <w:pStyle w:val="Compact"/>
              <w:jc w:val="right"/>
            </w:pPr>
            <m:oMath>
              <m:r>
                <m:t>4.95</m:t>
              </m:r>
              <m:r>
                <m:t>B</m:t>
              </m:r>
              <m:r>
                <m:rPr>
                  <m:sty m:val="p"/>
                </m:rPr>
                <m:t>–</m:t>
              </m:r>
            </m:oMath>
            <w:r>
              <w:rPr>
                <w:b/>
                <w:bCs/>
              </w:rPr>
              <w:t xml:space="preserve">5.00B</w:t>
            </w:r>
          </w:p>
        </w:tc>
        <w:tc>
          <w:tcPr/>
          <w:p>
            <w:pPr>
              <w:pStyle w:val="Compact"/>
              <w:jc w:val="right"/>
            </w:pPr>
            <w:r>
              <w:t xml:space="preserve">$4.55B</w:t>
            </w:r>
          </w:p>
        </w:tc>
        <w:tc>
          <w:tcPr/>
          <w:p>
            <w:pPr>
              <w:pStyle w:val="Compact"/>
              <w:jc w:val="right"/>
            </w:pPr>
            <w:r>
              <w:rPr>
                <w:b/>
                <w:bCs/>
              </w:rPr>
              <w:t xml:space="preserve">9%–10%</w:t>
            </w:r>
          </w:p>
        </w:tc>
      </w:tr>
      <w:tr>
        <w:tc>
          <w:tcPr/>
          <w:p>
            <w:pPr>
              <w:pStyle w:val="Compact"/>
            </w:pPr>
            <w:r>
              <w:t xml:space="preserve">EPS</w:t>
            </w:r>
          </w:p>
        </w:tc>
        <w:tc>
          <w:tcPr/>
          <w:p>
            <w:pPr>
              <w:pStyle w:val="Compact"/>
              <w:jc w:val="right"/>
            </w:pPr>
            <m:oMath>
              <m:r>
                <m:t>11.28</m:t>
              </m:r>
              <m:r>
                <m:rPr>
                  <m:sty m:val="p"/>
                </m:rPr>
                <m:t>–</m:t>
              </m:r>
            </m:oMath>
            <w:r>
              <w:rPr>
                <w:b/>
                <w:bCs/>
              </w:rPr>
              <w:t xml:space="preserve">11.42</w:t>
            </w:r>
          </w:p>
        </w:tc>
        <w:tc>
          <w:tcPr/>
          <w:p>
            <w:pPr>
              <w:pStyle w:val="Compact"/>
              <w:jc w:val="right"/>
            </w:pPr>
            <w:r>
              <w:t xml:space="preserve">$9.97</w:t>
            </w:r>
          </w:p>
        </w:tc>
        <w:tc>
          <w:tcPr/>
          <w:p>
            <w:pPr>
              <w:pStyle w:val="Compact"/>
              <w:jc w:val="right"/>
            </w:pPr>
            <w:r>
              <w:rPr>
                <w:b/>
                <w:bCs/>
              </w:rPr>
              <w:t xml:space="preserve">13%–15%</w:t>
            </w:r>
          </w:p>
        </w:tc>
      </w:tr>
      <w:tr>
        <w:tc>
          <w:tcPr/>
          <w:p>
            <w:pPr>
              <w:pStyle w:val="Compact"/>
            </w:pPr>
            <w:r>
              <w:t xml:space="preserve">Operating margin</w:t>
            </w:r>
          </w:p>
        </w:tc>
        <w:tc>
          <w:tcPr/>
          <w:p>
            <w:pPr>
              <w:pStyle w:val="Compact"/>
              <w:jc w:val="right"/>
            </w:pPr>
            <w:r>
              <w:rPr>
                <w:b/>
                <w:bCs/>
              </w:rPr>
              <w:t xml:space="preserve">Low-15% area</w:t>
            </w:r>
          </w:p>
        </w:tc>
        <w:tc>
          <w:tcPr/>
          <w:p>
            <w:pPr>
              <w:pStyle w:val="Compact"/>
              <w:jc w:val="right"/>
            </w:pPr>
            <w:r>
              <w:t xml:space="preserve">14.9%</w:t>
            </w:r>
          </w:p>
        </w:tc>
        <w:tc>
          <w:tcPr/>
          <w:p>
            <w:pPr>
              <w:pStyle w:val="Compact"/>
              <w:jc w:val="right"/>
            </w:pPr>
            <w:r>
              <w:t xml:space="preserve">Modest expansion</w:t>
            </w:r>
          </w:p>
        </w:tc>
      </w:tr>
    </w:tbl>
    <w:p>
      <w:pPr>
        <w:pStyle w:val="BodyText"/>
      </w:pPr>
      <w:r>
        <w:t xml:space="preserve">Benzinga lists consensus at $4.95 billion and $11.27 per share, while other estimate aggregators are around $5.0 billion and</w:t>
      </w:r>
      <w:r>
        <w:t xml:space="preserve"> </w:t>
      </w:r>
      <m:oMath>
        <m:r>
          <m:t>11.3</m:t>
        </m:r>
        <m:r>
          <m:rPr>
            <m:sty m:val="p"/>
          </m:rPr>
          <m:t>–</m:t>
        </m:r>
      </m:oMath>
      <w:r>
        <w:t xml:space="preserve">11.4 per share. (</w:t>
      </w:r>
      <w:hyperlink r:id="rId12">
        <w:r>
          <w:rPr>
            <w:rStyle w:val="Hyperlink"/>
          </w:rPr>
          <w:t xml:space="preserve">benzinga.com</w:t>
        </w:r>
      </w:hyperlink>
      <w:r>
        <w:t xml:space="preserve">)</w:t>
      </w:r>
    </w:p>
    <w:p>
      <w:pPr>
        <w:pStyle w:val="BodyText"/>
      </w:pPr>
      <w:r>
        <w:t xml:space="preserve">Those numbers are broadly consistent with management’s explicit Q1 call framework:</w:t>
      </w:r>
    </w:p>
    <w:p>
      <w:pPr>
        <w:pStyle w:val="Compact"/>
        <w:numPr>
          <w:ilvl w:val="0"/>
          <w:numId w:val="1001"/>
        </w:numPr>
      </w:pPr>
      <w:r>
        <w:t xml:space="preserve">Q2 revenue</w:t>
      </w:r>
      <w:r>
        <w:t xml:space="preserve"> </w:t>
      </w:r>
      <w:r>
        <w:rPr>
          <w:b/>
          <w:bCs/>
        </w:rPr>
        <w:t xml:space="preserve">above $4.9 billion</w:t>
      </w:r>
    </w:p>
    <w:p>
      <w:pPr>
        <w:pStyle w:val="Compact"/>
        <w:numPr>
          <w:ilvl w:val="0"/>
          <w:numId w:val="1001"/>
        </w:numPr>
      </w:pPr>
      <w:r>
        <w:t xml:space="preserve">Daily organic constant-currency growth approaching</w:t>
      </w:r>
      <w:r>
        <w:t xml:space="preserve"> </w:t>
      </w:r>
      <w:r>
        <w:rPr>
          <w:b/>
          <w:bCs/>
        </w:rPr>
        <w:t xml:space="preserve">12%</w:t>
      </w:r>
    </w:p>
    <w:p>
      <w:pPr>
        <w:pStyle w:val="Compact"/>
        <w:numPr>
          <w:ilvl w:val="0"/>
          <w:numId w:val="1001"/>
        </w:numPr>
      </w:pPr>
      <w:r>
        <w:t xml:space="preserve">Total-company operating margin in the</w:t>
      </w:r>
      <w:r>
        <w:t xml:space="preserve"> </w:t>
      </w:r>
      <w:r>
        <w:rPr>
          <w:b/>
          <w:bCs/>
        </w:rPr>
        <w:t xml:space="preserve">low-15% range</w:t>
      </w:r>
    </w:p>
    <w:p>
      <w:pPr>
        <w:pStyle w:val="Compact"/>
        <w:numPr>
          <w:ilvl w:val="0"/>
          <w:numId w:val="1001"/>
        </w:numPr>
      </w:pPr>
      <w:r>
        <w:t xml:space="preserve">A roughly one-point sequential decline in gross margin from Q1</w:t>
      </w:r>
    </w:p>
    <w:p>
      <w:pPr>
        <w:pStyle w:val="FirstParagraph"/>
      </w:pPr>
      <w:r>
        <w:t xml:space="preserve">A result near consensus would therefore be a solid quarter, but not necessarily a meaningful positive surprise relative to management’s own comments.</w:t>
      </w:r>
    </w:p>
    <w:bookmarkEnd w:id="13"/>
    <w:bookmarkStart w:id="19" w:name="the-five-issues-that-matter-most"/>
    <w:p>
      <w:pPr>
        <w:pStyle w:val="Heading2"/>
      </w:pPr>
      <w:r>
        <w:t xml:space="preserve">The five issues that matter most</w:t>
      </w:r>
    </w:p>
    <w:bookmarkStart w:id="14" w:name="Xf092da3e968fbe11823be0aee4c93e3ab6fa37a"/>
    <w:p>
      <w:pPr>
        <w:pStyle w:val="Heading3"/>
      </w:pPr>
      <w:r>
        <w:t xml:space="preserve">1. Is High-Touch growth still supported by volume and share gains?</w:t>
      </w:r>
    </w:p>
    <w:p>
      <w:pPr>
        <w:pStyle w:val="FirstParagraph"/>
      </w:pPr>
      <w:r>
        <w:t xml:space="preserve">High-Touch Solutions–North America is the core earnings engine. Its Q1 sales increased 10.5%, or 10.0% on a daily constant-currency basis, with roughly equal contributions from price and volume. Management estimated that price contributed about five percentage points.</w:t>
      </w:r>
    </w:p>
    <w:p>
      <w:pPr>
        <w:pStyle w:val="BodyText"/>
      </w:pPr>
      <w:r>
        <w:t xml:space="preserve">The most important read-through is whether volume remains healthy after the strong start to the year. Management previously described:</w:t>
      </w:r>
    </w:p>
    <w:p>
      <w:pPr>
        <w:pStyle w:val="Compact"/>
        <w:numPr>
          <w:ilvl w:val="0"/>
          <w:numId w:val="1002"/>
        </w:numPr>
      </w:pPr>
      <w:r>
        <w:t xml:space="preserve">Broad acceleration across customer end markets</w:t>
      </w:r>
    </w:p>
    <w:p>
      <w:pPr>
        <w:pStyle w:val="Compact"/>
        <w:numPr>
          <w:ilvl w:val="0"/>
          <w:numId w:val="1002"/>
        </w:numPr>
      </w:pPr>
      <w:r>
        <w:t xml:space="preserve">Strength in manufacturing, government and contractor accounts</w:t>
      </w:r>
    </w:p>
    <w:p>
      <w:pPr>
        <w:pStyle w:val="Compact"/>
        <w:numPr>
          <w:ilvl w:val="0"/>
          <w:numId w:val="1002"/>
        </w:numPr>
      </w:pPr>
      <w:r>
        <w:t xml:space="preserve">A North American MRO market that had returned to slight volume growth</w:t>
      </w:r>
    </w:p>
    <w:p>
      <w:pPr>
        <w:pStyle w:val="Compact"/>
        <w:numPr>
          <w:ilvl w:val="0"/>
          <w:numId w:val="1002"/>
        </w:numPr>
      </w:pPr>
      <w:r>
        <w:t xml:space="preserve">Continued gains with large contract customers</w:t>
      </w:r>
    </w:p>
    <w:p>
      <w:pPr>
        <w:pStyle w:val="Compact"/>
        <w:numPr>
          <w:ilvl w:val="0"/>
          <w:numId w:val="1002"/>
        </w:numPr>
      </w:pPr>
      <w:r>
        <w:t xml:space="preserve">April organic growth above 13%</w:t>
      </w:r>
    </w:p>
    <w:p>
      <w:pPr>
        <w:pStyle w:val="FirstParagraph"/>
      </w:pPr>
      <w:r>
        <w:t xml:space="preserve">A particularly strong print would show that growth remains broad and is not merely tariff-related pricing. Investors should distinguish between:</w:t>
      </w:r>
    </w:p>
    <w:p>
      <w:pPr>
        <w:pStyle w:val="Compact"/>
        <w:numPr>
          <w:ilvl w:val="0"/>
          <w:numId w:val="1003"/>
        </w:numPr>
      </w:pPr>
      <w:r>
        <w:rPr>
          <w:b/>
          <w:bCs/>
        </w:rPr>
        <w:t xml:space="preserve">Price</w:t>
      </w:r>
      <w:r>
        <w:t xml:space="preserve">, which helps reported growth but may bring offsetting product costs;</w:t>
      </w:r>
    </w:p>
    <w:p>
      <w:pPr>
        <w:pStyle w:val="Compact"/>
        <w:numPr>
          <w:ilvl w:val="0"/>
          <w:numId w:val="1003"/>
        </w:numPr>
      </w:pPr>
      <w:r>
        <w:rPr>
          <w:b/>
          <w:bCs/>
        </w:rPr>
        <w:t xml:space="preserve">Market volume</w:t>
      </w:r>
      <w:r>
        <w:t xml:space="preserve">, which is more cyclical; and</w:t>
      </w:r>
    </w:p>
    <w:p>
      <w:pPr>
        <w:pStyle w:val="Compact"/>
        <w:numPr>
          <w:ilvl w:val="0"/>
          <w:numId w:val="1003"/>
        </w:numPr>
      </w:pPr>
      <w:r>
        <w:rPr>
          <w:b/>
          <w:bCs/>
        </w:rPr>
        <w:t xml:space="preserve">Grainger-specific share gains</w:t>
      </w:r>
      <w:r>
        <w:t xml:space="preserve">, which are the highest-quality component.</w:t>
      </w:r>
    </w:p>
    <w:p>
      <w:pPr>
        <w:pStyle w:val="FirstParagraph"/>
      </w:pPr>
      <w:r>
        <w:rPr>
          <w:b/>
          <w:bCs/>
        </w:rPr>
        <w:t xml:space="preserve">Best signal:</w:t>
      </w:r>
      <w:r>
        <w:t xml:space="preserve"> </w:t>
      </w:r>
      <w:r>
        <w:t xml:space="preserve">High-Touch volume and share gains remain positive even as price begins moderating.</w:t>
      </w:r>
    </w:p>
    <w:bookmarkEnd w:id="14"/>
    <w:bookmarkStart w:id="15" w:name="X950f563bb7dc539e7eb06d56902d5c69c5980bd"/>
    <w:p>
      <w:pPr>
        <w:pStyle w:val="Heading3"/>
      </w:pPr>
      <w:r>
        <w:t xml:space="preserve">2. Can Grainger absorb the anticipated gross-margin step-down?</w:t>
      </w:r>
    </w:p>
    <w:p>
      <w:pPr>
        <w:pStyle w:val="FirstParagraph"/>
      </w:pPr>
      <w:r>
        <w:t xml:space="preserve">Management deliberately prepared investors for a weaker sequential margin in Q2. From Q1’s 40.0% gross margin, the expected bridge was approximately:</w:t>
      </w:r>
    </w:p>
    <w:p>
      <w:pPr>
        <w:pStyle w:val="Compact"/>
        <w:numPr>
          <w:ilvl w:val="0"/>
          <w:numId w:val="1004"/>
        </w:numPr>
      </w:pPr>
      <w:r>
        <w:rPr>
          <w:b/>
          <w:bCs/>
        </w:rPr>
        <w:t xml:space="preserve">60 basis points</w:t>
      </w:r>
      <w:r>
        <w:t xml:space="preserve"> </w:t>
      </w:r>
      <w:r>
        <w:t xml:space="preserve">of normal seasonal deterioration;</w:t>
      </w:r>
    </w:p>
    <w:p>
      <w:pPr>
        <w:pStyle w:val="Compact"/>
        <w:numPr>
          <w:ilvl w:val="0"/>
          <w:numId w:val="1004"/>
        </w:numPr>
      </w:pPr>
      <w:r>
        <w:rPr>
          <w:b/>
          <w:bCs/>
        </w:rPr>
        <w:t xml:space="preserve">20 basis points</w:t>
      </w:r>
      <w:r>
        <w:t xml:space="preserve"> </w:t>
      </w:r>
      <w:r>
        <w:t xml:space="preserve">from selling through higher-cost private-label inventory; and</w:t>
      </w:r>
    </w:p>
    <w:p>
      <w:pPr>
        <w:pStyle w:val="Compact"/>
        <w:numPr>
          <w:ilvl w:val="0"/>
          <w:numId w:val="1004"/>
        </w:numPr>
      </w:pPr>
      <w:r>
        <w:t xml:space="preserve">Additional pressure from diesel and parcel-freight costs.</w:t>
      </w:r>
    </w:p>
    <w:p>
      <w:pPr>
        <w:pStyle w:val="FirstParagraph"/>
      </w:pPr>
      <w:r>
        <w:t xml:space="preserve">This makes margin quality more important than the exact EPS figure. A Q2 operating margin around 15.0%–15.4% would broadly fit the company’s framework. A materially weaker result could imply that fuel, product costs or private-label mix are more difficult to recover than expected.</w:t>
      </w:r>
    </w:p>
    <w:p>
      <w:pPr>
        <w:pStyle w:val="BodyText"/>
      </w:pPr>
      <w:r>
        <w:t xml:space="preserve">Conversely, a margin above the mid-15% range would suggest that pricing, mix and operating leverage are offsetting those headwinds faster than management anticipated.</w:t>
      </w:r>
    </w:p>
    <w:p>
      <w:pPr>
        <w:pStyle w:val="BodyText"/>
      </w:pPr>
      <w:r>
        <w:t xml:space="preserve">Key questions include:</w:t>
      </w:r>
    </w:p>
    <w:p>
      <w:pPr>
        <w:pStyle w:val="Compact"/>
        <w:numPr>
          <w:ilvl w:val="0"/>
          <w:numId w:val="1005"/>
        </w:numPr>
      </w:pPr>
      <w:r>
        <w:t xml:space="preserve">Was price-cost approximately neutral?</w:t>
      </w:r>
    </w:p>
    <w:p>
      <w:pPr>
        <w:pStyle w:val="Compact"/>
        <w:numPr>
          <w:ilvl w:val="0"/>
          <w:numId w:val="1005"/>
        </w:numPr>
      </w:pPr>
      <w:r>
        <w:t xml:space="preserve">How much of the private-label inventory headwind has now passed through?</w:t>
      </w:r>
    </w:p>
    <w:p>
      <w:pPr>
        <w:pStyle w:val="Compact"/>
        <w:numPr>
          <w:ilvl w:val="0"/>
          <w:numId w:val="1005"/>
        </w:numPr>
      </w:pPr>
      <w:r>
        <w:t xml:space="preserve">Has the company found ways to recover elevated parcel and fuel costs?</w:t>
      </w:r>
    </w:p>
    <w:p>
      <w:pPr>
        <w:pStyle w:val="Compact"/>
        <w:numPr>
          <w:ilvl w:val="0"/>
          <w:numId w:val="1005"/>
        </w:numPr>
      </w:pPr>
      <w:r>
        <w:t xml:space="preserve">Does management still expect margins to improve in the second half—the previously described “U-shaped” progression?</w:t>
      </w:r>
    </w:p>
    <w:bookmarkEnd w:id="15"/>
    <w:bookmarkStart w:id="16" w:name="X0e66c8be1a3c431c92dfa3b6e7caaa01240ce1f"/>
    <w:p>
      <w:pPr>
        <w:pStyle w:val="Heading3"/>
      </w:pPr>
      <w:r>
        <w:t xml:space="preserve">3. How durable is Endless Assortment’s exceptional growth?</w:t>
      </w:r>
    </w:p>
    <w:p>
      <w:pPr>
        <w:pStyle w:val="FirstParagraph"/>
      </w:pPr>
      <w:r>
        <w:t xml:space="preserve">Endless Assortment was a major Q1 contributor:</w:t>
      </w:r>
    </w:p>
    <w:p>
      <w:pPr>
        <w:pStyle w:val="Compact"/>
        <w:numPr>
          <w:ilvl w:val="0"/>
          <w:numId w:val="1006"/>
        </w:numPr>
      </w:pPr>
      <w:r>
        <w:t xml:space="preserve">Organic constant-currency sales increased 21.9%.</w:t>
      </w:r>
    </w:p>
    <w:p>
      <w:pPr>
        <w:pStyle w:val="Compact"/>
        <w:numPr>
          <w:ilvl w:val="0"/>
          <w:numId w:val="1006"/>
        </w:numPr>
      </w:pPr>
      <w:r>
        <w:t xml:space="preserve">Zoro U.S. daily sales grew 18.7%.</w:t>
      </w:r>
    </w:p>
    <w:p>
      <w:pPr>
        <w:pStyle w:val="Compact"/>
        <w:numPr>
          <w:ilvl w:val="0"/>
          <w:numId w:val="1006"/>
        </w:numPr>
      </w:pPr>
      <w:r>
        <w:t xml:space="preserve">MonotaRO local-currency growth was 24.3%.</w:t>
      </w:r>
    </w:p>
    <w:p>
      <w:pPr>
        <w:pStyle w:val="Compact"/>
        <w:numPr>
          <w:ilvl w:val="0"/>
          <w:numId w:val="1006"/>
        </w:numPr>
      </w:pPr>
      <w:r>
        <w:t xml:space="preserve">Segment operating margin expanded 190 basis points to 10.6%.</w:t>
      </w:r>
    </w:p>
    <w:p>
      <w:pPr>
        <w:pStyle w:val="FirstParagraph"/>
      </w:pPr>
      <w:r>
        <w:t xml:space="preserve">Some moderation should be expected. MonotaRO benefited from web traffic associated with a competitor’s cyber outage, and management said that benefit waned through Q1. The market should therefore focus on whether underlying customer acquisition, retention and enterprise-account growth remain strong once that temporary tailwind fades.</w:t>
      </w:r>
    </w:p>
    <w:p>
      <w:pPr>
        <w:pStyle w:val="BodyText"/>
      </w:pPr>
      <w:r>
        <w:t xml:space="preserve">For Zoro, the key test is whether improved retention and customer quality continue to generate both strong growth and margin expansion. Continued Zoro profitability would support the argument that Endless Assortment is becoming a meaningful earnings contributor rather than only a revenue-growth vehicle.</w:t>
      </w:r>
    </w:p>
    <w:bookmarkEnd w:id="16"/>
    <w:bookmarkStart w:id="17" w:name="Xb53bbc27a75f13e243b36e47cfaaa54d13f97c3"/>
    <w:p>
      <w:pPr>
        <w:pStyle w:val="Heading3"/>
      </w:pPr>
      <w:r>
        <w:t xml:space="preserve">4. Does management raise the full-year outlook again?</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guidance</w:t>
            </w:r>
          </w:p>
        </w:tc>
      </w:tr>
      <w:tr>
        <w:tc>
          <w:tcPr/>
          <w:p>
            <w:pPr>
              <w:pStyle w:val="Compact"/>
            </w:pPr>
            <w:r>
              <w:t xml:space="preserve">Revenue</w:t>
            </w:r>
          </w:p>
        </w:tc>
        <w:tc>
          <w:tcPr/>
          <w:p>
            <w:pPr>
              <w:pStyle w:val="Compact"/>
              <w:jc w:val="right"/>
            </w:pPr>
            <m:oMath>
              <m:r>
                <m:t>19.2</m:t>
              </m:r>
              <m:r>
                <m:t>B</m:t>
              </m:r>
              <m:r>
                <m:rPr>
                  <m:sty m:val="p"/>
                </m:rPr>
                <m:t>–</m:t>
              </m:r>
            </m:oMath>
            <w:r>
              <w:rPr>
                <w:b/>
                <w:bCs/>
              </w:rPr>
              <w:t xml:space="preserve">19.6B</w:t>
            </w:r>
          </w:p>
        </w:tc>
      </w:tr>
      <w:tr>
        <w:tc>
          <w:tcPr/>
          <w:p>
            <w:pPr>
              <w:pStyle w:val="Compact"/>
            </w:pPr>
            <w:r>
              <w:t xml:space="preserve">Organic constant-currency growth</w:t>
            </w:r>
          </w:p>
        </w:tc>
        <w:tc>
          <w:tcPr/>
          <w:p>
            <w:pPr>
              <w:pStyle w:val="Compact"/>
              <w:jc w:val="right"/>
            </w:pPr>
            <w:r>
              <w:rPr>
                <w:b/>
                <w:bCs/>
              </w:rPr>
              <w:t xml:space="preserve">9.5%–12.0%</w:t>
            </w:r>
          </w:p>
        </w:tc>
      </w:tr>
      <w:tr>
        <w:tc>
          <w:tcPr/>
          <w:p>
            <w:pPr>
              <w:pStyle w:val="Compact"/>
            </w:pPr>
            <w:r>
              <w:t xml:space="preserve">Gross margin</w:t>
            </w:r>
          </w:p>
        </w:tc>
        <w:tc>
          <w:tcPr/>
          <w:p>
            <w:pPr>
              <w:pStyle w:val="Compact"/>
              <w:jc w:val="right"/>
            </w:pPr>
            <w:r>
              <w:rPr>
                <w:b/>
                <w:bCs/>
              </w:rPr>
              <w:t xml:space="preserve">39.2%–39.5%</w:t>
            </w:r>
          </w:p>
        </w:tc>
      </w:tr>
      <w:tr>
        <w:tc>
          <w:tcPr/>
          <w:p>
            <w:pPr>
              <w:pStyle w:val="Compact"/>
            </w:pPr>
            <w:r>
              <w:t xml:space="preserve">Operating margin</w:t>
            </w:r>
          </w:p>
        </w:tc>
        <w:tc>
          <w:tcPr/>
          <w:p>
            <w:pPr>
              <w:pStyle w:val="Compact"/>
              <w:jc w:val="right"/>
            </w:pPr>
            <w:r>
              <w:rPr>
                <w:b/>
                <w:bCs/>
              </w:rPr>
              <w:t xml:space="preserve">15.6%–16.0%</w:t>
            </w:r>
          </w:p>
        </w:tc>
      </w:tr>
      <w:tr>
        <w:tc>
          <w:tcPr/>
          <w:p>
            <w:pPr>
              <w:pStyle w:val="Compact"/>
            </w:pPr>
            <w:r>
              <w:t xml:space="preserve">Adjusted EPS</w:t>
            </w:r>
          </w:p>
        </w:tc>
        <w:tc>
          <w:tcPr/>
          <w:p>
            <w:pPr>
              <w:pStyle w:val="Compact"/>
              <w:jc w:val="right"/>
            </w:pPr>
            <m:oMath>
              <m:r>
                <m:t>44.25</m:t>
              </m:r>
              <m:r>
                <m:rPr>
                  <m:sty m:val="p"/>
                </m:rPr>
                <m:t>–</m:t>
              </m:r>
            </m:oMath>
            <w:r>
              <w:rPr>
                <w:b/>
                <w:bCs/>
              </w:rPr>
              <w:t xml:space="preserve">46.25</w:t>
            </w:r>
          </w:p>
        </w:tc>
      </w:tr>
      <w:tr>
        <w:tc>
          <w:tcPr/>
          <w:p>
            <w:pPr>
              <w:pStyle w:val="Compact"/>
            </w:pPr>
            <w:r>
              <w:t xml:space="preserve">Operating cash flow</w:t>
            </w:r>
          </w:p>
        </w:tc>
        <w:tc>
          <w:tcPr/>
          <w:p>
            <w:pPr>
              <w:pStyle w:val="Compact"/>
              <w:jc w:val="right"/>
            </w:pPr>
            <m:oMath>
              <m:r>
                <m:t>2.2</m:t>
              </m:r>
              <m:r>
                <m:t>B</m:t>
              </m:r>
              <m:r>
                <m:rPr>
                  <m:sty m:val="p"/>
                </m:rPr>
                <m:t>–</m:t>
              </m:r>
            </m:oMath>
            <w:r>
              <w:rPr>
                <w:b/>
                <w:bCs/>
              </w:rPr>
              <w:t xml:space="preserve">2.4B</w:t>
            </w:r>
          </w:p>
        </w:tc>
      </w:tr>
      <w:tr>
        <w:tc>
          <w:tcPr/>
          <w:p>
            <w:pPr>
              <w:pStyle w:val="Compact"/>
            </w:pPr>
            <w:r>
              <w:t xml:space="preserve">Share repurchases</w:t>
            </w:r>
          </w:p>
        </w:tc>
        <w:tc>
          <w:tcPr/>
          <w:p>
            <w:pPr>
              <w:pStyle w:val="Compact"/>
              <w:jc w:val="right"/>
            </w:pPr>
            <m:oMath>
              <m:r>
                <m:t>950</m:t>
              </m:r>
              <m:r>
                <m:t>M</m:t>
              </m:r>
              <m:r>
                <m:rPr>
                  <m:sty m:val="p"/>
                </m:rPr>
                <m:t>–</m:t>
              </m:r>
            </m:oMath>
            <w:r>
              <w:rPr>
                <w:b/>
                <w:bCs/>
              </w:rPr>
              <w:t xml:space="preserve">1.05B</w:t>
            </w:r>
          </w:p>
        </w:tc>
      </w:tr>
    </w:tbl>
    <w:p>
      <w:pPr>
        <w:pStyle w:val="BodyText"/>
      </w:pPr>
      <w:r>
        <w:t xml:space="preserve">At approximately $4.95 billion of Q2 revenue, first-half sales would be roughly</w:t>
      </w:r>
      <w:r>
        <w:t xml:space="preserve"> </w:t>
      </w:r>
      <m:oMath>
        <m:r>
          <m:t>9.69</m:t>
        </m:r>
        <m:r>
          <m:t>b</m:t>
        </m:r>
        <m:r>
          <m:t>i</m:t>
        </m:r>
        <m:r>
          <m:t>l</m:t>
        </m:r>
        <m:r>
          <m:t>l</m:t>
        </m:r>
        <m:r>
          <m:t>i</m:t>
        </m:r>
        <m:r>
          <m:t>o</m:t>
        </m:r>
        <m:r>
          <m:t>n</m:t>
        </m:r>
        <m:r>
          <m:rPr>
            <m:sty m:val="p"/>
          </m:rPr>
          <m:t>.</m:t>
        </m:r>
        <m:r>
          <m:t>R</m:t>
        </m:r>
        <m:r>
          <m:t>e</m:t>
        </m:r>
        <m:r>
          <m:t>a</m:t>
        </m:r>
        <m:r>
          <m:t>c</m:t>
        </m:r>
        <m:r>
          <m:t>h</m:t>
        </m:r>
        <m:r>
          <m:t>i</m:t>
        </m:r>
        <m:r>
          <m:t>n</m:t>
        </m:r>
        <m:r>
          <m:t>g</m:t>
        </m:r>
        <m:r>
          <m:t>t</m:t>
        </m:r>
        <m:r>
          <m:t>h</m:t>
        </m:r>
        <m:r>
          <m:t>e</m:t>
        </m:r>
        <m:r>
          <m:t>r</m:t>
        </m:r>
        <m:r>
          <m:t>e</m:t>
        </m:r>
        <m:r>
          <m:t>v</m:t>
        </m:r>
        <m:r>
          <m:t>e</m:t>
        </m:r>
        <m:r>
          <m:t>n</m:t>
        </m:r>
        <m:r>
          <m:t>u</m:t>
        </m:r>
        <m:r>
          <m:t>e</m:t>
        </m:r>
        <m:r>
          <m:rPr>
            <m:sty m:val="p"/>
          </m:rPr>
          <m:t>−</m:t>
        </m:r>
        <m:r>
          <m:t>g</m:t>
        </m:r>
        <m:r>
          <m:t>u</m:t>
        </m:r>
        <m:r>
          <m:t>i</m:t>
        </m:r>
        <m:r>
          <m:t>d</m:t>
        </m:r>
        <m:r>
          <m:t>a</m:t>
        </m:r>
        <m:r>
          <m:t>n</m:t>
        </m:r>
        <m:r>
          <m:t>c</m:t>
        </m:r>
        <m:r>
          <m:t>e</m:t>
        </m:r>
        <m:r>
          <m:t>m</m:t>
        </m:r>
        <m:r>
          <m:t>i</m:t>
        </m:r>
        <m:r>
          <m:t>d</m:t>
        </m:r>
        <m:r>
          <m:t>p</m:t>
        </m:r>
        <m:r>
          <m:t>o</m:t>
        </m:r>
        <m:r>
          <m:t>i</m:t>
        </m:r>
        <m:r>
          <m:t>n</m:t>
        </m:r>
        <m:r>
          <m:t>t</m:t>
        </m:r>
        <m:r>
          <m:t>w</m:t>
        </m:r>
        <m:r>
          <m:t>o</m:t>
        </m:r>
        <m:r>
          <m:t>u</m:t>
        </m:r>
        <m:r>
          <m:t>l</m:t>
        </m:r>
        <m:r>
          <m:t>d</m:t>
        </m:r>
        <m:r>
          <m:t>t</m:t>
        </m:r>
        <m:r>
          <m:t>h</m:t>
        </m:r>
        <m:r>
          <m:t>e</m:t>
        </m:r>
        <m:r>
          <m:t>n</m:t>
        </m:r>
        <m:r>
          <m:t>r</m:t>
        </m:r>
        <m:r>
          <m:t>e</m:t>
        </m:r>
        <m:r>
          <m:t>q</m:t>
        </m:r>
        <m:r>
          <m:t>u</m:t>
        </m:r>
        <m:r>
          <m:t>i</m:t>
        </m:r>
        <m:r>
          <m:t>r</m:t>
        </m:r>
        <m:r>
          <m:t>e</m:t>
        </m:r>
        <m:r>
          <m:t>a</m:t>
        </m:r>
        <m:r>
          <m:t>n</m:t>
        </m:r>
        <m:r>
          <m:t>a</m:t>
        </m:r>
        <m:r>
          <m:t>v</m:t>
        </m:r>
        <m:r>
          <m:t>e</m:t>
        </m:r>
        <m:r>
          <m:t>r</m:t>
        </m:r>
        <m:r>
          <m:t>a</m:t>
        </m:r>
        <m:r>
          <m:t>g</m:t>
        </m:r>
        <m:r>
          <m:t>e</m:t>
        </m:r>
        <m:r>
          <m:t>o</m:t>
        </m:r>
        <m:r>
          <m:t>f</m:t>
        </m:r>
        <m:r>
          <m:t>a</m:t>
        </m:r>
        <m:r>
          <m:t>b</m:t>
        </m:r>
        <m:r>
          <m:t>o</m:t>
        </m:r>
        <m:r>
          <m:t>u</m:t>
        </m:r>
        <m:r>
          <m:t>t</m:t>
        </m:r>
        <m:r>
          <m:rPr>
            <m:sty m:val="p"/>
          </m:rPr>
          <m:t>*</m:t>
        </m:r>
        <m:r>
          <m:rPr>
            <m:sty m:val="p"/>
          </m:rPr>
          <m:t>*</m:t>
        </m:r>
      </m:oMath>
      <w:r>
        <w:t xml:space="preserve">4.85 billion per quarter in the second half**.</w:t>
      </w:r>
    </w:p>
    <w:p>
      <w:pPr>
        <w:pStyle w:val="BodyText"/>
      </w:pPr>
      <w:r>
        <w:t xml:space="preserve">Similarly, Q1 EPS of $11.65 plus Q2 consensus of roughly</w:t>
      </w:r>
      <w:r>
        <w:t xml:space="preserve"> </w:t>
      </w:r>
      <m:oMath>
        <m:r>
          <m:t>11.28</m:t>
        </m:r>
        <m:r>
          <m:t>w</m:t>
        </m:r>
        <m:r>
          <m:t>o</m:t>
        </m:r>
        <m:r>
          <m:t>u</m:t>
        </m:r>
        <m:r>
          <m:t>l</m:t>
        </m:r>
        <m:r>
          <m:t>d</m:t>
        </m:r>
        <m:r>
          <m:t>l</m:t>
        </m:r>
        <m:r>
          <m:t>e</m:t>
        </m:r>
        <m:r>
          <m:t>a</m:t>
        </m:r>
        <m:r>
          <m:t>v</m:t>
        </m:r>
        <m:r>
          <m:t>e</m:t>
        </m:r>
        <m:r>
          <m:t>a</m:t>
        </m:r>
        <m:r>
          <m:t>b</m:t>
        </m:r>
        <m:r>
          <m:t>o</m:t>
        </m:r>
        <m:r>
          <m:t>u</m:t>
        </m:r>
        <m:r>
          <m:t>t</m:t>
        </m:r>
        <m:r>
          <m:rPr>
            <m:sty m:val="p"/>
          </m:rPr>
          <m:t>*</m:t>
        </m:r>
        <m:r>
          <m:rPr>
            <m:sty m:val="p"/>
          </m:rPr>
          <m:t>*</m:t>
        </m:r>
      </m:oMath>
      <w:r>
        <w:t xml:space="preserve">11.16 per quarter** needed in the second half to reach the $45.25 guidance midpoint.</w:t>
      </w:r>
    </w:p>
    <w:p>
      <w:pPr>
        <w:pStyle w:val="BodyText"/>
      </w:pPr>
      <w:r>
        <w:t xml:space="preserve">That arithmetic suggests the existing guidance is achievable if demand and margins remain stable. The hurdle for another increase, however, is management’s comfort with:</w:t>
      </w:r>
    </w:p>
    <w:p>
      <w:pPr>
        <w:pStyle w:val="Compact"/>
        <w:numPr>
          <w:ilvl w:val="0"/>
          <w:numId w:val="1007"/>
        </w:numPr>
      </w:pPr>
      <w:r>
        <w:t xml:space="preserve">Fuel and transportation inflation;</w:t>
      </w:r>
    </w:p>
    <w:p>
      <w:pPr>
        <w:pStyle w:val="Compact"/>
        <w:numPr>
          <w:ilvl w:val="0"/>
          <w:numId w:val="1007"/>
        </w:numPr>
      </w:pPr>
      <w:r>
        <w:t xml:space="preserve">Future tariff changes;</w:t>
      </w:r>
    </w:p>
    <w:p>
      <w:pPr>
        <w:pStyle w:val="Compact"/>
        <w:numPr>
          <w:ilvl w:val="0"/>
          <w:numId w:val="1007"/>
        </w:numPr>
      </w:pPr>
      <w:r>
        <w:t xml:space="preserve">Pricing realization;</w:t>
      </w:r>
    </w:p>
    <w:p>
      <w:pPr>
        <w:pStyle w:val="Compact"/>
        <w:numPr>
          <w:ilvl w:val="0"/>
          <w:numId w:val="1007"/>
        </w:numPr>
      </w:pPr>
      <w:r>
        <w:t xml:space="preserve">Japan’s energy and input costs;</w:t>
      </w:r>
    </w:p>
    <w:p>
      <w:pPr>
        <w:pStyle w:val="Compact"/>
        <w:numPr>
          <w:ilvl w:val="0"/>
          <w:numId w:val="1007"/>
        </w:numPr>
      </w:pPr>
      <w:r>
        <w:t xml:space="preserve">The pace of MRO demand;</w:t>
      </w:r>
    </w:p>
    <w:p>
      <w:pPr>
        <w:pStyle w:val="Compact"/>
        <w:numPr>
          <w:ilvl w:val="0"/>
          <w:numId w:val="1007"/>
        </w:numPr>
      </w:pPr>
      <w:r>
        <w:t xml:space="preserve">The expected second-half margin recovery.</w:t>
      </w:r>
    </w:p>
    <w:p>
      <w:pPr>
        <w:pStyle w:val="FirstParagraph"/>
      </w:pPr>
      <w:r>
        <w:t xml:space="preserve">A raise limited to revenue but not margin or EPS could indicate that incremental sales are carrying lower profitability. The cleanest bullish outcome would be higher revenue and EPS guidance with stable or better margin assumptions.</w:t>
      </w:r>
    </w:p>
    <w:bookmarkEnd w:id="17"/>
    <w:bookmarkStart w:id="18" w:name="Xa19260f6a541d9438f2364d8234444097ca26d9"/>
    <w:p>
      <w:pPr>
        <w:pStyle w:val="Heading3"/>
      </w:pPr>
      <w:r>
        <w:t xml:space="preserve">5. The CFO transition will be an important call topic</w:t>
      </w:r>
    </w:p>
    <w:p>
      <w:pPr>
        <w:pStyle w:val="FirstParagraph"/>
      </w:pPr>
      <w:r>
        <w:t xml:space="preserve">Grainger disclosed on August 3 that CFO Deidra Merriwether will resign effective</w:t>
      </w:r>
      <w:r>
        <w:t xml:space="preserve"> </w:t>
      </w:r>
      <w:r>
        <w:rPr>
          <w:b/>
          <w:bCs/>
        </w:rPr>
        <w:t xml:space="preserve">September 4, 2026</w:t>
      </w:r>
      <w:r>
        <w:t xml:space="preserve"> </w:t>
      </w:r>
      <w:r>
        <w:t xml:space="preserve">to pursue another opportunity. Controller Laurie Thomson will become interim CFO effective September 5 while the company conducts a search.</w:t>
      </w:r>
    </w:p>
    <w:p>
      <w:pPr>
        <w:pStyle w:val="BodyText"/>
      </w:pPr>
      <w:r>
        <w:t xml:space="preserve">The filing explicitly states that the resignation was</w:t>
      </w:r>
      <w:r>
        <w:t xml:space="preserve"> </w:t>
      </w:r>
      <w:r>
        <w:rPr>
          <w:b/>
          <w:bCs/>
        </w:rPr>
        <w:t xml:space="preserve">not related to any disagreement concerning operations, financial statements, internal controls, policies, auditors or practices</w:t>
      </w:r>
      <w:r>
        <w:t xml:space="preserve">. That reduces immediate accounting concerns, and Merriwether remains CFO through this report.</w:t>
      </w:r>
    </w:p>
    <w:p>
      <w:pPr>
        <w:pStyle w:val="BodyText"/>
      </w:pPr>
      <w:r>
        <w:t xml:space="preserve">Nevertheless, the timing—one day before earnings—creates an unavoidable sentiment issue. Investors will want clarity on:</w:t>
      </w:r>
    </w:p>
    <w:p>
      <w:pPr>
        <w:pStyle w:val="Compact"/>
        <w:numPr>
          <w:ilvl w:val="0"/>
          <w:numId w:val="1008"/>
        </w:numPr>
      </w:pPr>
      <w:r>
        <w:t xml:space="preserve">Whether the departure changes any financial or capital-allocation priorities;</w:t>
      </w:r>
    </w:p>
    <w:p>
      <w:pPr>
        <w:pStyle w:val="Compact"/>
        <w:numPr>
          <w:ilvl w:val="0"/>
          <w:numId w:val="1008"/>
        </w:numPr>
      </w:pPr>
      <w:r>
        <w:t xml:space="preserve">The expected duration and scope of the external search;</w:t>
      </w:r>
    </w:p>
    <w:p>
      <w:pPr>
        <w:pStyle w:val="Compact"/>
        <w:numPr>
          <w:ilvl w:val="0"/>
          <w:numId w:val="1008"/>
        </w:numPr>
      </w:pPr>
      <w:r>
        <w:t xml:space="preserve">Whether Thomson is being considered for the permanent position;</w:t>
      </w:r>
    </w:p>
    <w:p>
      <w:pPr>
        <w:pStyle w:val="Compact"/>
        <w:numPr>
          <w:ilvl w:val="0"/>
          <w:numId w:val="1008"/>
        </w:numPr>
      </w:pPr>
      <w:r>
        <w:t xml:space="preserve">Continuity around pricing, forecasting and investor communication.</w:t>
      </w:r>
    </w:p>
    <w:p>
      <w:pPr>
        <w:pStyle w:val="FirstParagraph"/>
      </w:pPr>
      <w:r>
        <w:t xml:space="preserve">This should be treated primarily as a succession and optics issue unless management provides reason to think otherwise.</w:t>
      </w:r>
    </w:p>
    <w:bookmarkEnd w:id="18"/>
    <w:bookmarkEnd w:id="19"/>
    <w:bookmarkStart w:id="23" w:name="potential-scenarios"/>
    <w:p>
      <w:pPr>
        <w:pStyle w:val="Heading2"/>
      </w:pPr>
      <w:r>
        <w:t xml:space="preserve">Potential scenarios</w:t>
      </w:r>
    </w:p>
    <w:bookmarkStart w:id="20" w:name="bull-case"/>
    <w:p>
      <w:pPr>
        <w:pStyle w:val="Heading3"/>
      </w:pPr>
      <w:r>
        <w:t xml:space="preserve">Bull case</w:t>
      </w:r>
    </w:p>
    <w:p>
      <w:pPr>
        <w:pStyle w:val="Compact"/>
        <w:numPr>
          <w:ilvl w:val="0"/>
          <w:numId w:val="1009"/>
        </w:numPr>
      </w:pPr>
      <w:r>
        <w:t xml:space="preserve">Revenue above $5.0 billion.</w:t>
      </w:r>
    </w:p>
    <w:p>
      <w:pPr>
        <w:pStyle w:val="Compact"/>
        <w:numPr>
          <w:ilvl w:val="0"/>
          <w:numId w:val="1009"/>
        </w:numPr>
      </w:pPr>
      <w:r>
        <w:t xml:space="preserve">Organic growth remains near or above 12%.</w:t>
      </w:r>
    </w:p>
    <w:p>
      <w:pPr>
        <w:pStyle w:val="Compact"/>
        <w:numPr>
          <w:ilvl w:val="0"/>
          <w:numId w:val="1009"/>
        </w:numPr>
      </w:pPr>
      <w:r>
        <w:t xml:space="preserve">High-Touch volume and share gains remain strong.</w:t>
      </w:r>
    </w:p>
    <w:p>
      <w:pPr>
        <w:pStyle w:val="Compact"/>
        <w:numPr>
          <w:ilvl w:val="0"/>
          <w:numId w:val="1009"/>
        </w:numPr>
      </w:pPr>
      <w:r>
        <w:t xml:space="preserve">Operating margin reaches the mid-15% range despite stated headwinds.</w:t>
      </w:r>
    </w:p>
    <w:p>
      <w:pPr>
        <w:pStyle w:val="Compact"/>
        <w:numPr>
          <w:ilvl w:val="0"/>
          <w:numId w:val="1009"/>
        </w:numPr>
      </w:pPr>
      <w:r>
        <w:t xml:space="preserve">Endless Assortment sustains high-teens or better organic growth with healthy margins.</w:t>
      </w:r>
    </w:p>
    <w:p>
      <w:pPr>
        <w:pStyle w:val="Compact"/>
        <w:numPr>
          <w:ilvl w:val="0"/>
          <w:numId w:val="1009"/>
        </w:numPr>
      </w:pPr>
      <w:r>
        <w:t xml:space="preserve">Full-year EPS guidance is raised beyond the Q2 beat.</w:t>
      </w:r>
    </w:p>
    <w:p>
      <w:pPr>
        <w:pStyle w:val="Compact"/>
        <w:numPr>
          <w:ilvl w:val="0"/>
          <w:numId w:val="1009"/>
        </w:numPr>
      </w:pPr>
      <w:r>
        <w:t xml:space="preserve">Management signals that fuel and private-label pressures are manageable and that second-half margin recovery remains intact.</w:t>
      </w:r>
    </w:p>
    <w:bookmarkEnd w:id="20"/>
    <w:bookmarkStart w:id="21" w:name="base-case"/>
    <w:p>
      <w:pPr>
        <w:pStyle w:val="Heading3"/>
      </w:pPr>
      <w:r>
        <w:t xml:space="preserve">Base case</w:t>
      </w:r>
    </w:p>
    <w:p>
      <w:pPr>
        <w:pStyle w:val="Compact"/>
        <w:numPr>
          <w:ilvl w:val="0"/>
          <w:numId w:val="1010"/>
        </w:numPr>
      </w:pPr>
      <w:r>
        <w:t xml:space="preserve">Revenue near $4.95 billion and EPS around $11.3.</w:t>
      </w:r>
    </w:p>
    <w:p>
      <w:pPr>
        <w:pStyle w:val="Compact"/>
        <w:numPr>
          <w:ilvl w:val="0"/>
          <w:numId w:val="1010"/>
        </w:numPr>
      </w:pPr>
      <w:r>
        <w:t xml:space="preserve">High-Touch remains strong but price begins moderating.</w:t>
      </w:r>
    </w:p>
    <w:p>
      <w:pPr>
        <w:pStyle w:val="Compact"/>
        <w:numPr>
          <w:ilvl w:val="0"/>
          <w:numId w:val="1010"/>
        </w:numPr>
      </w:pPr>
      <w:r>
        <w:t xml:space="preserve">Endless Assortment growth slows from Q1 as the MonotaRO cyber-outage benefit fades.</w:t>
      </w:r>
    </w:p>
    <w:p>
      <w:pPr>
        <w:pStyle w:val="Compact"/>
        <w:numPr>
          <w:ilvl w:val="0"/>
          <w:numId w:val="1010"/>
        </w:numPr>
      </w:pPr>
      <w:r>
        <w:t xml:space="preserve">Operating margin lands in the low-15% range.</w:t>
      </w:r>
    </w:p>
    <w:p>
      <w:pPr>
        <w:pStyle w:val="Compact"/>
        <w:numPr>
          <w:ilvl w:val="0"/>
          <w:numId w:val="1010"/>
        </w:numPr>
      </w:pPr>
      <w:r>
        <w:t xml:space="preserve">Guidance is modestly raised or reiterated with a bias toward the upper half.</w:t>
      </w:r>
    </w:p>
    <w:p>
      <w:pPr>
        <w:pStyle w:val="Compact"/>
        <w:numPr>
          <w:ilvl w:val="0"/>
          <w:numId w:val="1010"/>
        </w:numPr>
      </w:pPr>
      <w:r>
        <w:t xml:space="preserve">The CFO transition is described as orderly and unrelated to business performance.</w:t>
      </w:r>
    </w:p>
    <w:p>
      <w:pPr>
        <w:pStyle w:val="FirstParagraph"/>
      </w:pPr>
      <w:r>
        <w:t xml:space="preserve">This would constitute good fundamental execution, although the share-price reaction could be muted given the stock’s run and premium valuation.</w:t>
      </w:r>
    </w:p>
    <w:bookmarkEnd w:id="21"/>
    <w:bookmarkStart w:id="22" w:name="bear-case"/>
    <w:p>
      <w:pPr>
        <w:pStyle w:val="Heading3"/>
      </w:pPr>
      <w:r>
        <w:t xml:space="preserve">Bear case</w:t>
      </w:r>
    </w:p>
    <w:p>
      <w:pPr>
        <w:pStyle w:val="Compact"/>
        <w:numPr>
          <w:ilvl w:val="0"/>
          <w:numId w:val="1011"/>
        </w:numPr>
      </w:pPr>
      <w:r>
        <w:t xml:space="preserve">Revenue falls below $4.9 billion or organic growth decelerates sharply.</w:t>
      </w:r>
    </w:p>
    <w:p>
      <w:pPr>
        <w:pStyle w:val="Compact"/>
        <w:numPr>
          <w:ilvl w:val="0"/>
          <w:numId w:val="1011"/>
        </w:numPr>
      </w:pPr>
      <w:r>
        <w:t xml:space="preserve">High-Touch growth is disproportionately price-driven.</w:t>
      </w:r>
    </w:p>
    <w:p>
      <w:pPr>
        <w:pStyle w:val="Compact"/>
        <w:numPr>
          <w:ilvl w:val="0"/>
          <w:numId w:val="1011"/>
        </w:numPr>
      </w:pPr>
      <w:r>
        <w:t xml:space="preserve">Gross margin falls below approximately 39%, indicating larger fuel, private-label or LIFO pressure.</w:t>
      </w:r>
    </w:p>
    <w:p>
      <w:pPr>
        <w:pStyle w:val="Compact"/>
        <w:numPr>
          <w:ilvl w:val="0"/>
          <w:numId w:val="1011"/>
        </w:numPr>
      </w:pPr>
      <w:r>
        <w:t xml:space="preserve">Endless Assortment margins retreat as temporary growth benefits normalize.</w:t>
      </w:r>
    </w:p>
    <w:p>
      <w:pPr>
        <w:pStyle w:val="Compact"/>
        <w:numPr>
          <w:ilvl w:val="0"/>
          <w:numId w:val="1011"/>
        </w:numPr>
      </w:pPr>
      <w:r>
        <w:t xml:space="preserve">Management maintains or cuts guidance despite a nominal Q2 EPS beat.</w:t>
      </w:r>
    </w:p>
    <w:p>
      <w:pPr>
        <w:pStyle w:val="Compact"/>
        <w:numPr>
          <w:ilvl w:val="0"/>
          <w:numId w:val="1011"/>
        </w:numPr>
      </w:pPr>
      <w:r>
        <w:t xml:space="preserve">Commentary weakens around second-half demand or the expected margin rebound.</w:t>
      </w:r>
    </w:p>
    <w:p>
      <w:pPr>
        <w:pStyle w:val="Compact"/>
        <w:numPr>
          <w:ilvl w:val="0"/>
          <w:numId w:val="1011"/>
        </w:numPr>
      </w:pPr>
      <w:r>
        <w:t xml:space="preserve">The CFO departure creates uncertainty around succession or financial leadership.</w:t>
      </w:r>
    </w:p>
    <w:bookmarkEnd w:id="22"/>
    <w:bookmarkEnd w:id="23"/>
    <w:bookmarkStart w:id="24" w:name="questions-for-the-conference-call"/>
    <w:p>
      <w:pPr>
        <w:pStyle w:val="Heading2"/>
      </w:pPr>
      <w:r>
        <w:t xml:space="preserve">Questions for the conference call</w:t>
      </w:r>
    </w:p>
    <w:p>
      <w:pPr>
        <w:pStyle w:val="Compact"/>
        <w:numPr>
          <w:ilvl w:val="0"/>
          <w:numId w:val="1012"/>
        </w:numPr>
      </w:pPr>
      <w:r>
        <w:rPr>
          <w:b/>
          <w:bCs/>
        </w:rPr>
        <w:t xml:space="preserve">How much of Q2 High-Touch growth came from price, market volume and share gains?</w:t>
      </w:r>
    </w:p>
    <w:p>
      <w:pPr>
        <w:pStyle w:val="Compact"/>
        <w:numPr>
          <w:ilvl w:val="0"/>
          <w:numId w:val="1012"/>
        </w:numPr>
      </w:pPr>
      <w:r>
        <w:rPr>
          <w:b/>
          <w:bCs/>
        </w:rPr>
        <w:t xml:space="preserve">Did April’s greater-than-13% organic growth persist through May and June?</w:t>
      </w:r>
    </w:p>
    <w:p>
      <w:pPr>
        <w:pStyle w:val="Compact"/>
        <w:numPr>
          <w:ilvl w:val="0"/>
          <w:numId w:val="1012"/>
        </w:numPr>
      </w:pPr>
      <w:r>
        <w:rPr>
          <w:b/>
          <w:bCs/>
        </w:rPr>
        <w:t xml:space="preserve">How large were the Q2 private-label and fuel headwinds, and how much remains for the second half?</w:t>
      </w:r>
    </w:p>
    <w:p>
      <w:pPr>
        <w:pStyle w:val="Compact"/>
        <w:numPr>
          <w:ilvl w:val="0"/>
          <w:numId w:val="1012"/>
        </w:numPr>
      </w:pPr>
      <w:r>
        <w:rPr>
          <w:b/>
          <w:bCs/>
        </w:rPr>
        <w:t xml:space="preserve">What pricing actions are planned for the September pricing window?</w:t>
      </w:r>
    </w:p>
    <w:p>
      <w:pPr>
        <w:pStyle w:val="Compact"/>
        <w:numPr>
          <w:ilvl w:val="0"/>
          <w:numId w:val="1012"/>
        </w:numPr>
      </w:pPr>
      <w:r>
        <w:rPr>
          <w:b/>
          <w:bCs/>
        </w:rPr>
        <w:t xml:space="preserve">Is price-cost now neutral, or does management expect another temporary lag?</w:t>
      </w:r>
    </w:p>
    <w:p>
      <w:pPr>
        <w:pStyle w:val="Compact"/>
        <w:numPr>
          <w:ilvl w:val="0"/>
          <w:numId w:val="1012"/>
        </w:numPr>
      </w:pPr>
      <w:r>
        <w:rPr>
          <w:b/>
          <w:bCs/>
        </w:rPr>
        <w:t xml:space="preserve">How much did the prior competitor cyber outage contribute to MonotaRO growth, and what was growth excluding that benefit?</w:t>
      </w:r>
    </w:p>
    <w:p>
      <w:pPr>
        <w:pStyle w:val="Compact"/>
        <w:numPr>
          <w:ilvl w:val="0"/>
          <w:numId w:val="1012"/>
        </w:numPr>
      </w:pPr>
      <w:r>
        <w:rPr>
          <w:b/>
          <w:bCs/>
        </w:rPr>
        <w:t xml:space="preserve">Does the full-year margin guide still assume a clear second-half recovery?</w:t>
      </w:r>
    </w:p>
    <w:p>
      <w:pPr>
        <w:pStyle w:val="Compact"/>
        <w:numPr>
          <w:ilvl w:val="0"/>
          <w:numId w:val="1012"/>
        </w:numPr>
      </w:pPr>
      <w:r>
        <w:rPr>
          <w:b/>
          <w:bCs/>
        </w:rPr>
        <w:t xml:space="preserve">How should investors interpret the CFO departure, and what qualities is the board seeking in the permanent replacement?</w:t>
      </w:r>
    </w:p>
    <w:bookmarkEnd w:id="24"/>
    <w:bookmarkStart w:id="25" w:name="bottom-line"/>
    <w:p>
      <w:pPr>
        <w:pStyle w:val="Heading2"/>
      </w:pPr>
      <w:r>
        <w:t xml:space="preserve">Bottom line</w:t>
      </w:r>
    </w:p>
    <w:p>
      <w:pPr>
        <w:pStyle w:val="FirstParagraph"/>
      </w:pPr>
      <w:r>
        <w:t xml:space="preserve">Grainger is likely to report strong year-over-year growth, but the market already expects a good quarter. The central issue is not whether Q2 margins decline sequentially—they almost certainly should, based on management’s prior guidance—but</w:t>
      </w:r>
      <w:r>
        <w:t xml:space="preserve"> </w:t>
      </w:r>
      <w:r>
        <w:rPr>
          <w:b/>
          <w:bCs/>
        </w:rPr>
        <w:t xml:space="preserve">whether they decline only for the anticipated, temporary reasons</w:t>
      </w:r>
      <w:r>
        <w:t xml:space="preserve">.</w:t>
      </w:r>
    </w:p>
    <w:p>
      <w:pPr>
        <w:pStyle w:val="BodyText"/>
      </w:pPr>
      <w:r>
        <w:t xml:space="preserve">The most constructive report would combine:</w:t>
      </w:r>
    </w:p>
    <w:p>
      <w:pPr>
        <w:pStyle w:val="Compact"/>
        <w:numPr>
          <w:ilvl w:val="0"/>
          <w:numId w:val="1013"/>
        </w:numPr>
      </w:pPr>
      <w:r>
        <w:t xml:space="preserve">Continued High-Touch volume and share gains;</w:t>
      </w:r>
    </w:p>
    <w:p>
      <w:pPr>
        <w:pStyle w:val="Compact"/>
        <w:numPr>
          <w:ilvl w:val="0"/>
          <w:numId w:val="1013"/>
        </w:numPr>
      </w:pPr>
      <w:r>
        <w:t xml:space="preserve">A controlled Q2 margin reset;</w:t>
      </w:r>
    </w:p>
    <w:p>
      <w:pPr>
        <w:pStyle w:val="Compact"/>
        <w:numPr>
          <w:ilvl w:val="0"/>
          <w:numId w:val="1013"/>
        </w:numPr>
      </w:pPr>
      <w:r>
        <w:t xml:space="preserve">Durable Zoro and MonotaRO growth;</w:t>
      </w:r>
    </w:p>
    <w:p>
      <w:pPr>
        <w:pStyle w:val="Compact"/>
        <w:numPr>
          <w:ilvl w:val="0"/>
          <w:numId w:val="1013"/>
        </w:numPr>
      </w:pPr>
      <w:r>
        <w:t xml:space="preserve">Confidence in second-half margin improvement; and</w:t>
      </w:r>
    </w:p>
    <w:p>
      <w:pPr>
        <w:pStyle w:val="Compact"/>
        <w:numPr>
          <w:ilvl w:val="0"/>
          <w:numId w:val="1013"/>
        </w:numPr>
      </w:pPr>
      <w:r>
        <w:t xml:space="preserve">A meaningful full-year guidance increase.</w:t>
      </w:r>
    </w:p>
    <w:p>
      <w:pPr>
        <w:pStyle w:val="FirstParagraph"/>
      </w:pPr>
      <w:r>
        <w:t xml:space="preserve">A simple revenue or EPS beat without stronger guidance may not be sufficient after the stock’s post-Q1 appreciation and at roughly 30 times expected 2026 earnings. The real earnings-day test is whether Grainger can demonstrate that Q1’s exceptional operating performance was the start of a durable improvement rather than the high point of the year.</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grainger.com/events-and-presentations/event-details/2026/Q2-2026-Grainger-Earnings-Release/default.aspx?utm_source=openai" TargetMode="External" /><Relationship Type="http://schemas.openxmlformats.org/officeDocument/2006/relationships/hyperlink" Id="rId10" Target="https://invest.grainger.com/investor-news/news-details/2026/GRAINGER-REPORTS-RESULTS-FOR-THE-FIRST-QUARTER-2026/default.aspx?utm_source=openai" TargetMode="External" /><Relationship Type="http://schemas.openxmlformats.org/officeDocument/2006/relationships/hyperlink" Id="rId12" Target="https://www.benzinga.com/quote/GWW/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grainger.com/events-and-presentations/event-details/2026/Q2-2026-Grainger-Earnings-Release/default.aspx?utm_source=openai" TargetMode="External" /><Relationship Type="http://schemas.openxmlformats.org/officeDocument/2006/relationships/hyperlink" Id="rId10" Target="https://invest.grainger.com/investor-news/news-details/2026/GRAINGER-REPORTS-RESULTS-FOR-THE-FIRST-QUARTER-2026/default.aspx?utm_source=openai" TargetMode="External" /><Relationship Type="http://schemas.openxmlformats.org/officeDocument/2006/relationships/hyperlink" Id="rId12" Target="https://www.benzinga.com/quote/GWW/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2026-08-04T01:16:11Z</dcterms:created>
  <dcterms:modified xsi:type="dcterms:W3CDTF">2026-08-04T01:16:11Z</dcterms:modified>
</cp:coreProperties>
</file>

<file path=docProps/custom.xml><?xml version="1.0" encoding="utf-8"?>
<Properties xmlns="http://schemas.openxmlformats.org/officeDocument/2006/custom-properties" xmlns:vt="http://schemas.openxmlformats.org/officeDocument/2006/docPropsVTypes"/>
</file>