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ww-earnings-predictions--2026-08-04"/>
    <w:p>
      <w:pPr>
        <w:pStyle w:val="Heading1"/>
      </w:pPr>
      <w:r>
        <w:t xml:space="preserve">GWW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~$4.98B vs. cons $4.90B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~$11.55 vs. cons $11.30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~15.1% vs. cons 15.2%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net-sales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~$19.40B vs. cons $19.43B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~$45.25 vs. cons $45.60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operating-margin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~15.8% vs. cons 15.8%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GWW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(FADE)</w:t>
            </w:r>
          </w:p>
        </w:tc>
        <w:tc>
          <w:tcPr/>
          <w:p>
            <w:pPr>
              <w:pStyle w:val="Compact"/>
            </w:pPr>
            <w:r>
              <w:t xml:space="preserve">A ~$11.55 EPS result versus</w:t>
            </w:r>
            <w:r>
              <w:t xml:space="preserve"> </w:t>
            </w:r>
            <m:oMath>
              <m:r>
                <m:t>11.30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4.98B revenue versus</w:t>
            </w:r>
            <w:r>
              <w:t xml:space="preserve"> </w:t>
            </w:r>
            <m:oMath>
              <m:r>
                <m:t>4.90</m:t>
              </m:r>
              <m:r>
                <m:t>B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a</m:t>
              </m:r>
              <m:r>
                <m:t>n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rPr>
                  <m:sty m:val="p"/>
                </m:rPr>
                <m:t>+</m:t>
              </m:r>
              <m:r>
                <m:t>1.4</m:t>
              </m:r>
            </m:oMath>
            <w:r>
              <w:t xml:space="preserve">45.25 FY2026 EPS midpoint versus $45.60 consensus leaves modest out-period downside despite the quarterly beat, limiting estimate-revision support and producing a fade to +0.3% by day five.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2026-08-04T01:15:18Z</dcterms:created>
  <dcterms:modified xsi:type="dcterms:W3CDTF">2026-08-04T01:15:18Z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