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gww-q2-2026-earnings-preview"/>
    <w:p>
      <w:pPr>
        <w:pStyle w:val="Heading1"/>
      </w:pPr>
      <w:r>
        <w:t xml:space="preserve">GWW Q2 2026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August 4,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Grainger scheduled its Q2 2026 earnings release for</w:t>
      </w:r>
      <w:r>
        <w:t xml:space="preserve"> </w:t>
      </w:r>
      <w:r>
        <w:rPr>
          <w:b/>
          <w:bCs/>
        </w:rPr>
        <w:t xml:space="preserve">7:00 a.m. CT / 8:00 a.m. ET</w:t>
      </w:r>
      <w:r>
        <w:t xml:space="preserve"> </w:t>
      </w:r>
      <w:r>
        <w:t xml:space="preserve">and its conference call for</w:t>
      </w:r>
      <w:r>
        <w:t xml:space="preserve"> </w:t>
      </w:r>
      <w:r>
        <w:rPr>
          <w:b/>
          <w:bCs/>
        </w:rPr>
        <w:t xml:space="preserve">10:00 a.m. CT / 11:00 a.m. ET</w:t>
      </w:r>
      <w:r>
        <w:t xml:space="preserve"> </w:t>
      </w:r>
      <w:r>
        <w:t xml:space="preserve">today. This is therefore a</w:t>
      </w:r>
      <w:r>
        <w:t xml:space="preserve"> </w:t>
      </w:r>
      <w:r>
        <w:rPr>
          <w:b/>
          <w:bCs/>
        </w:rPr>
        <w:t xml:space="preserve">pre-results-oriented preview</w:t>
      </w:r>
      <w:r>
        <w:t xml:space="preserve"> </w:t>
      </w:r>
      <w:r>
        <w:t xml:space="preserve">based on information available entering the report, rather than an analysis of any Q2 figures released today. (</w:t>
      </w:r>
      <w:hyperlink r:id="rId9">
        <w:r>
          <w:rPr>
            <w:rStyle w:val="Hyperlink"/>
          </w:rPr>
          <w:t xml:space="preserve">invest.grainger.com</w:t>
        </w:r>
      </w:hyperlink>
      <w:r>
        <w:t xml:space="preserve">)</w:t>
      </w:r>
    </w:p>
    <w:bookmarkStart w:id="1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Grainger enters Q2 with an unusually well-defined setup: management already indicated that Q2 sales should exceed</w:t>
      </w:r>
      <w:r>
        <w:t xml:space="preserve"> </w:t>
      </w:r>
      <w:r>
        <w:rPr>
          <w:b/>
          <w:bCs/>
        </w:rPr>
        <w:t xml:space="preserve">$4.9 billion</w:t>
      </w:r>
      <w:r>
        <w:t xml:space="preserve">, with daily organic constant-currency growth approaching</w:t>
      </w:r>
      <w:r>
        <w:t xml:space="preserve"> </w:t>
      </w:r>
      <w:r>
        <w:rPr>
          <w:b/>
          <w:bCs/>
        </w:rPr>
        <w:t xml:space="preserve">12%</w:t>
      </w:r>
      <w:r>
        <w:t xml:space="preserve">, but that total-company operating margin should fall sequentially to the</w:t>
      </w:r>
      <w:r>
        <w:t xml:space="preserve"> </w:t>
      </w:r>
      <w:r>
        <w:rPr>
          <w:b/>
          <w:bCs/>
        </w:rPr>
        <w:t xml:space="preserve">low-15% range</w:t>
      </w:r>
      <w:r>
        <w:t xml:space="preserve">. The investment question is less about whether sales remain strong and more about whether the expected margin reset is contained, whether pricing still offsets tariff/freight/private-brand cost pressure, and whether full-year guidance can be maintained or increased.</w:t>
      </w:r>
    </w:p>
    <w:p>
      <w:pPr>
        <w:pStyle w:val="BodyText"/>
      </w:pPr>
      <w:r>
        <w:t xml:space="preserve">The share price also reflects elevated expectations: GWW closed at</w:t>
      </w:r>
      <w:r>
        <w:t xml:space="preserve"> </w:t>
      </w:r>
      <w:r>
        <w:rPr>
          <w:b/>
          <w:bCs/>
        </w:rPr>
        <w:t xml:space="preserve">$1,371.29 on August 3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36.6%</w:t>
      </w:r>
      <w:r>
        <w:t xml:space="preserve"> </w:t>
      </w:r>
      <w:r>
        <w:t xml:space="preserve">from its January 2 close. A simple “beat” on headline EPS may not suffice if investors see the Q2 margin pressure extending into the second half.</w:t>
      </w:r>
    </w:p>
    <w:bookmarkEnd w:id="10"/>
    <w:bookmarkStart w:id="12" w:name="X399f875e25ba301bdbbad9b32bbc3d8063b786d"/>
    <w:p>
      <w:pPr>
        <w:pStyle w:val="Heading2"/>
      </w:pPr>
      <w:r>
        <w:t xml:space="preserve">What management has already told investors</w:t>
      </w:r>
    </w:p>
    <w:p>
      <w:pPr>
        <w:pStyle w:val="FirstParagraph"/>
      </w:pPr>
      <w:r>
        <w:t xml:space="preserve">At Q1 earnings, Grainger raised its 2026 outlook after reporting</w:t>
      </w:r>
      <w:r>
        <w:t xml:space="preserve"> </w:t>
      </w:r>
      <w:r>
        <w:rPr>
          <w:b/>
          <w:bCs/>
        </w:rPr>
        <w:t xml:space="preserve">10.1% sales growth</w:t>
      </w:r>
      <w:r>
        <w:t xml:space="preserve">,</w:t>
      </w:r>
      <w:r>
        <w:t xml:space="preserve"> </w:t>
      </w:r>
      <w:r>
        <w:rPr>
          <w:b/>
          <w:bCs/>
        </w:rPr>
        <w:t xml:space="preserve">16.7% operating margin</w:t>
      </w:r>
      <w:r>
        <w:t xml:space="preserve">, and</w:t>
      </w:r>
      <w:r>
        <w:t xml:space="preserve"> </w:t>
      </w:r>
      <w:r>
        <w:rPr>
          <w:b/>
          <w:bCs/>
        </w:rPr>
        <w:t xml:space="preserve">$11.65 diluted EPS</w:t>
      </w:r>
      <w:r>
        <w:t xml:space="preserve">. The updated full-year guide calls for: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19.2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19.6B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Daily organic constant-currency sales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9.5%–12.0%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39.2%–39.5%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15.6%–16.0%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44.25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46.25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cash flow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2.2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2.4B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0.95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1.05B</w:t>
            </w:r>
          </w:p>
        </w:tc>
      </w:tr>
    </w:tbl>
    <w:p>
      <w:pPr>
        <w:pStyle w:val="BodyText"/>
      </w:pPr>
      <w:r>
        <w:t xml:space="preserve">Management’s explicit Q2 framework was for sales</w:t>
      </w:r>
      <w:r>
        <w:t xml:space="preserve"> </w:t>
      </w:r>
      <w:r>
        <w:rPr>
          <w:b/>
          <w:bCs/>
        </w:rPr>
        <w:t xml:space="preserve">north of $4.9 billion</w:t>
      </w:r>
      <w:r>
        <w:t xml:space="preserve">, daily organic constant-currency growth near</w:t>
      </w:r>
      <w:r>
        <w:t xml:space="preserve"> </w:t>
      </w:r>
      <w:r>
        <w:rPr>
          <w:b/>
          <w:bCs/>
        </w:rPr>
        <w:t xml:space="preserve">12%</w:t>
      </w:r>
      <w:r>
        <w:t xml:space="preserve">, and operating margin in the</w:t>
      </w:r>
      <w:r>
        <w:t xml:space="preserve"> </w:t>
      </w:r>
      <w:r>
        <w:rPr>
          <w:b/>
          <w:bCs/>
        </w:rPr>
        <w:t xml:space="preserve">low-15% range</w:t>
      </w:r>
      <w:r>
        <w:t xml:space="preserve">. (</w:t>
      </w:r>
      <w:hyperlink r:id="rId11">
        <w:r>
          <w:rPr>
            <w:rStyle w:val="Hyperlink"/>
          </w:rPr>
          <w:t xml:space="preserve">invest.grainger.com</w:t>
        </w:r>
      </w:hyperlink>
      <w:r>
        <w:t xml:space="preserve">)</w:t>
      </w:r>
    </w:p>
    <w:p>
      <w:pPr>
        <w:pStyle w:val="BodyText"/>
      </w:pPr>
      <w:r>
        <w:t xml:space="preserve">That framing implies a quarter with strong top-line momentum but much less favorable margin optics than Q1. At exactly</w:t>
      </w:r>
      <w:r>
        <w:t xml:space="preserve"> </w:t>
      </w:r>
      <m:oMath>
        <m:r>
          <m:t>4.9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a</m:t>
        </m:r>
        <m:r>
          <m:t>n</m:t>
        </m:r>
        <m:r>
          <m:t>d</m:t>
        </m:r>
        <m:r>
          <m:t>a</m:t>
        </m:r>
        <m:r>
          <m:t>15.0</m:t>
        </m:r>
      </m:oMath>
      <w:r>
        <w:t xml:space="preserve">735 million**; both figures are directional anchors, not company guidance.</w:t>
      </w:r>
    </w:p>
    <w:bookmarkEnd w:id="12"/>
    <w:bookmarkStart w:id="14" w:name="X514208c39429db86b68e343bf77bf8610e7c4c3"/>
    <w:p>
      <w:pPr>
        <w:pStyle w:val="Heading2"/>
      </w:pPr>
      <w:r>
        <w:t xml:space="preserve">The key debate: can growth remain quality growth?</w:t>
      </w:r>
    </w:p>
    <w:bookmarkStart w:id="13" w:name="X82945107c9264be528cdd4e126cdc83043dba08"/>
    <w:p>
      <w:pPr>
        <w:pStyle w:val="Heading3"/>
      </w:pPr>
      <w:r>
        <w:t xml:space="preserve">1. High-Touch Solutions North America: volume, price, and share gains</w:t>
      </w:r>
    </w:p>
    <w:p>
      <w:pPr>
        <w:pStyle w:val="FirstParagraph"/>
      </w:pPr>
      <w:r>
        <w:t xml:space="preserve">High-Touch Solutions N.A. is the core earnings engine. In Q1, segment sales grew</w:t>
      </w:r>
      <w:r>
        <w:t xml:space="preserve"> </w:t>
      </w:r>
      <w:r>
        <w:rPr>
          <w:b/>
          <w:bCs/>
        </w:rPr>
        <w:t xml:space="preserve">10.5% reported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10.0% daily constant currency</w:t>
      </w:r>
      <w:r>
        <w:t xml:space="preserve">, with management characterizing the contribution as roughly evenly split between price and volume. Manufacturing, government, and contractor customers were notable sources of strength, while broader MRO demand appeared to improve.</w:t>
      </w:r>
    </w:p>
    <w:p>
      <w:pPr>
        <w:pStyle w:val="BodyText"/>
      </w:pPr>
      <w:r>
        <w:t xml:space="preserve">For Q2, investors should focus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Volume versus price:</w:t>
      </w:r>
      <w:r>
        <w:t xml:space="preserve"> </w:t>
      </w:r>
      <w:r>
        <w:t xml:space="preserve">A sustained volume contribution would validate that growth is not merely tariff-related price realization.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Large-account/contract execution:</w:t>
      </w:r>
      <w:r>
        <w:t xml:space="preserve"> </w:t>
      </w:r>
      <w:r>
        <w:t xml:space="preserve">Grainger cited success with contract implementations and on-site services. Continued growth here supports the company’s share-gain narrative.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End-market breadth:</w:t>
      </w:r>
      <w:r>
        <w:t xml:space="preserve"> </w:t>
      </w:r>
      <w:r>
        <w:t xml:space="preserve">Manufacturing is approximately 30% of company sales, while government is approximately 15%; broad participation matters more than an isolated customer vertical.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Price/cost neutrality:</w:t>
      </w:r>
      <w:r>
        <w:t xml:space="preserve"> </w:t>
      </w:r>
      <w:r>
        <w:t xml:space="preserve">Management has historically emphasized eventual price/cost neutrality, but the timing of cost recognition is the issue for Q2.</w:t>
      </w:r>
    </w:p>
    <w:bookmarkEnd w:id="13"/>
    <w:bookmarkEnd w:id="14"/>
    <w:bookmarkStart w:id="15" w:name="X004d3d6145036e724fd6a76850b985869beb4e8"/>
    <w:p>
      <w:pPr>
        <w:pStyle w:val="Heading2"/>
      </w:pPr>
      <w:r>
        <w:t xml:space="preserve">2. Endless Assortment: still a growth contributor, but monitor normalization</w:t>
      </w:r>
    </w:p>
    <w:p>
      <w:pPr>
        <w:pStyle w:val="FirstParagraph"/>
      </w:pPr>
      <w:r>
        <w:t xml:space="preserve">The Endless Assortment segment—principally Zoro and MonotaRO—was a major Q1 upside driver, with sales up</w:t>
      </w:r>
      <w:r>
        <w:t xml:space="preserve"> </w:t>
      </w:r>
      <w:r>
        <w:rPr>
          <w:b/>
          <w:bCs/>
        </w:rPr>
        <w:t xml:space="preserve">19.6% reported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21.9% daily organic constant currency</w:t>
      </w:r>
      <w:r>
        <w:t xml:space="preserve">. Zoro U.S. grew 18.7% daily, while MonotaRO grew 24.3% in local days and local currency.</w:t>
      </w:r>
    </w:p>
    <w:p>
      <w:pPr>
        <w:pStyle w:val="BodyText"/>
      </w:pPr>
      <w:r>
        <w:t xml:space="preserve">The Q2 questions are: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MonotaRO:</w:t>
      </w:r>
      <w:r>
        <w:t xml:space="preserve"> </w:t>
      </w:r>
      <w:r>
        <w:t xml:space="preserve">Q1 benefited from incremental web traffic related to a competitor cyber outage, which management said was already waning through the quarter. Investors should distinguish underlying customer-acquisition/repeat-purchase growth from the fading temporary benefit.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Zoro:</w:t>
      </w:r>
      <w:r>
        <w:t xml:space="preserve"> </w:t>
      </w:r>
      <w:r>
        <w:t xml:space="preserve">Improving retention, pricing, fulfillment, and site functionality supported Q1. Management indicated website improvements were still early, so a sustained margin/growth improvement would be constructive.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Margin sustainability:</w:t>
      </w:r>
      <w:r>
        <w:t xml:space="preserve"> </w:t>
      </w:r>
      <w:r>
        <w:t xml:space="preserve">Endless Assortment operating margin reached</w:t>
      </w:r>
      <w:r>
        <w:t xml:space="preserve"> </w:t>
      </w:r>
      <w:r>
        <w:rPr>
          <w:b/>
          <w:bCs/>
        </w:rPr>
        <w:t xml:space="preserve">10.6%</w:t>
      </w:r>
      <w:r>
        <w:t xml:space="preserve"> </w:t>
      </w:r>
      <w:r>
        <w:t xml:space="preserve">in Q1, including</w:t>
      </w:r>
      <w:r>
        <w:t xml:space="preserve"> </w:t>
      </w:r>
      <w:r>
        <w:rPr>
          <w:b/>
          <w:bCs/>
        </w:rPr>
        <w:t xml:space="preserve">12.9% at MonotaRO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7.3% at Zoro</w:t>
      </w:r>
      <w:r>
        <w:t xml:space="preserve">. The full-year segment guide is only</w:t>
      </w:r>
      <w:r>
        <w:t xml:space="preserve"> </w:t>
      </w:r>
      <w:r>
        <w:rPr>
          <w:b/>
          <w:bCs/>
        </w:rPr>
        <w:t xml:space="preserve">10.2%–10.6%</w:t>
      </w:r>
      <w:r>
        <w:t xml:space="preserve">, so the market will watch for evidence that Q1 was repeatable rather than a peak.</w:t>
      </w:r>
    </w:p>
    <w:bookmarkEnd w:id="15"/>
    <w:bookmarkStart w:id="17" w:name="why-margins-are-expected-to-step-down"/>
    <w:p>
      <w:pPr>
        <w:pStyle w:val="Heading2"/>
      </w:pPr>
      <w:r>
        <w:t xml:space="preserve">Why margins are expected to step down</w:t>
      </w:r>
    </w:p>
    <w:p>
      <w:pPr>
        <w:pStyle w:val="FirstParagraph"/>
      </w:pPr>
      <w:r>
        <w:t xml:space="preserve">The expected Q2 margin decline is largely known—and therefore should be judged against management’s explanation rather than against Q1’s unusually strong 16.7% result.</w:t>
      </w:r>
    </w:p>
    <w:p>
      <w:pPr>
        <w:pStyle w:val="BodyText"/>
      </w:pPr>
      <w:r>
        <w:t xml:space="preserve">Management identified four important factors: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Normal Q1-to-Q2 price seasonality.</w:t>
      </w:r>
      <w:r>
        <w:t xml:space="preserve"> </w:t>
      </w:r>
      <w:r>
        <w:t xml:space="preserve">Grainger takes a larger January price action, which naturally fades through the year. Management quantified the resulting sequential gross-margin effect at roughly</w:t>
      </w:r>
      <w:r>
        <w:t xml:space="preserve"> </w:t>
      </w:r>
      <w:r>
        <w:rPr>
          <w:b/>
          <w:bCs/>
        </w:rPr>
        <w:t xml:space="preserve">60 basis points</w:t>
      </w:r>
      <w:r>
        <w:t xml:space="preserve">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Private-brand inventory cost flow-through.</w:t>
      </w:r>
      <w:r>
        <w:t xml:space="preserve"> </w:t>
      </w:r>
      <w:r>
        <w:t xml:space="preserve">Q1 benefited because lower-cost private-label inventory sold through more slowly than expected; management expected roughly</w:t>
      </w:r>
      <w:r>
        <w:t xml:space="preserve"> </w:t>
      </w:r>
      <w:r>
        <w:rPr>
          <w:b/>
          <w:bCs/>
        </w:rPr>
        <w:t xml:space="preserve">20 basis points</w:t>
      </w:r>
      <w:r>
        <w:t xml:space="preserve"> </w:t>
      </w:r>
      <w:r>
        <w:t xml:space="preserve">of related headwind to move into Q2.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Fuel and parcel-shipping leakage.</w:t>
      </w:r>
      <w:r>
        <w:t xml:space="preserve"> </w:t>
      </w:r>
      <w:r>
        <w:t xml:space="preserve">Higher fuel costs pressure gross margin because many larger customers receive free parcel shipping, limiting immediate pass-through. The company expects to address some of this in future price cycles, but Q2 bears the timing mismatch.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SG&amp;A seasonality.</w:t>
      </w:r>
      <w:r>
        <w:t xml:space="preserve"> </w:t>
      </w:r>
      <w:r>
        <w:t xml:space="preserve">Merit increases and stock compensation create typical Q1-to-Q2 expense deleverage.</w:t>
      </w:r>
    </w:p>
    <w:p>
      <w:pPr>
        <w:pStyle w:val="FirstParagraph"/>
      </w:pPr>
      <w:r>
        <w:t xml:space="preserve">The result is a quarter where strong revenue may coexist with operating margin around the low-15% level. This is still roughly comparable with the</w:t>
      </w:r>
      <w:r>
        <w:t xml:space="preserve"> </w:t>
      </w:r>
      <w:r>
        <w:rPr>
          <w:b/>
          <w:bCs/>
        </w:rPr>
        <w:t xml:space="preserve">14.9% operating margin in Q2 2025</w:t>
      </w:r>
      <w:r>
        <w:t xml:space="preserve">, but investors will care whether the Q2 2026 drag proves temporary and whether second-half margin recovery remains credible. (</w:t>
      </w:r>
      <w:hyperlink r:id="rId16">
        <w:r>
          <w:rPr>
            <w:rStyle w:val="Hyperlink"/>
          </w:rPr>
          <w:t xml:space="preserve">invest.grainger.com</w:t>
        </w:r>
      </w:hyperlink>
      <w:r>
        <w:t xml:space="preserve">)</w:t>
      </w:r>
    </w:p>
    <w:bookmarkEnd w:id="17"/>
    <w:bookmarkStart w:id="20" w:name="X2787ba4aaff5df48e95c4c71438bc78ca7ad3cb"/>
    <w:p>
      <w:pPr>
        <w:pStyle w:val="Heading2"/>
      </w:pPr>
      <w:r>
        <w:t xml:space="preserve">Guidance is likely more important than the quarter</w:t>
      </w:r>
    </w:p>
    <w:p>
      <w:pPr>
        <w:pStyle w:val="FirstParagraph"/>
      </w:pPr>
      <w:r>
        <w:t xml:space="preserve">The Q1 guide raise was substantial: the EPS midpoint increased to</w:t>
      </w:r>
      <w:r>
        <w:t xml:space="preserve"> </w:t>
      </w:r>
      <w:r>
        <w:rPr>
          <w:b/>
          <w:bCs/>
        </w:rPr>
        <w:t xml:space="preserve">$45.25</w:t>
      </w:r>
      <w:r>
        <w:t xml:space="preserve">, up from $43.50 initially, while organic growth guidance moved to 9.5%–12.0%. Management said the higher revenue embedded in the guide would carry lower incremental profitability because of incentive compensation, fuel leakage, and private-brand cost timing. (</w:t>
      </w:r>
      <w:hyperlink r:id="rId11">
        <w:r>
          <w:rPr>
            <w:rStyle w:val="Hyperlink"/>
          </w:rPr>
          <w:t xml:space="preserve">invest.grainger.com</w:t>
        </w:r>
      </w:hyperlink>
      <w:r>
        <w:t xml:space="preserve">)</w:t>
      </w:r>
    </w:p>
    <w:bookmarkStart w:id="18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4"/>
        </w:numPr>
      </w:pPr>
      <w:r>
        <w:t xml:space="preserve">Q2 sales exceed the already strong “north of $4.9B” marker.</w:t>
      </w:r>
    </w:p>
    <w:p>
      <w:pPr>
        <w:pStyle w:val="Compact"/>
        <w:numPr>
          <w:ilvl w:val="0"/>
          <w:numId w:val="1004"/>
        </w:numPr>
      </w:pPr>
      <w:r>
        <w:t xml:space="preserve">High-Touch growth shows durable volume/share gains rather than price-led growth.</w:t>
      </w:r>
    </w:p>
    <w:p>
      <w:pPr>
        <w:pStyle w:val="Compact"/>
        <w:numPr>
          <w:ilvl w:val="0"/>
          <w:numId w:val="1004"/>
        </w:numPr>
      </w:pPr>
      <w:r>
        <w:t xml:space="preserve">Gross-margin pressure lands as guided but does not worsen.</w:t>
      </w:r>
    </w:p>
    <w:p>
      <w:pPr>
        <w:pStyle w:val="Compact"/>
        <w:numPr>
          <w:ilvl w:val="0"/>
          <w:numId w:val="1004"/>
        </w:numPr>
      </w:pPr>
      <w:r>
        <w:t xml:space="preserve">Management maintains or raises its full-year sales, EPS, and cash-flow outlook.</w:t>
      </w:r>
    </w:p>
    <w:p>
      <w:pPr>
        <w:pStyle w:val="Compact"/>
        <w:numPr>
          <w:ilvl w:val="0"/>
          <w:numId w:val="1004"/>
        </w:numPr>
      </w:pPr>
      <w:r>
        <w:t xml:space="preserve">Zoro and MonotaRO remain profitable growth contributors.</w:t>
      </w:r>
    </w:p>
    <w:bookmarkEnd w:id="18"/>
    <w:bookmarkStart w:id="19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05"/>
        </w:numPr>
      </w:pPr>
      <w:r>
        <w:t xml:space="preserve">Price/cost dynamics deteriorate faster than expected amid tariff, freight, or supplier-cost changes.</w:t>
      </w:r>
    </w:p>
    <w:p>
      <w:pPr>
        <w:pStyle w:val="Compact"/>
        <w:numPr>
          <w:ilvl w:val="0"/>
          <w:numId w:val="1005"/>
        </w:numPr>
      </w:pPr>
      <w:r>
        <w:t xml:space="preserve">Fuel leakage becomes more material and delays the anticipated second-half recovery.</w:t>
      </w:r>
    </w:p>
    <w:p>
      <w:pPr>
        <w:pStyle w:val="Compact"/>
        <w:numPr>
          <w:ilvl w:val="0"/>
          <w:numId w:val="1005"/>
        </w:numPr>
      </w:pPr>
      <w:r>
        <w:t xml:space="preserve">Q2 margin comes in below the low-15% framework, or management lowers the outlook for High-Touch margins.</w:t>
      </w:r>
    </w:p>
    <w:p>
      <w:pPr>
        <w:pStyle w:val="Compact"/>
        <w:numPr>
          <w:ilvl w:val="0"/>
          <w:numId w:val="1005"/>
        </w:numPr>
      </w:pPr>
      <w:r>
        <w:t xml:space="preserve">MonotaRO growth decelerates materially as its competitor-outage benefit lapses.</w:t>
      </w:r>
    </w:p>
    <w:p>
      <w:pPr>
        <w:pStyle w:val="Compact"/>
        <w:numPr>
          <w:ilvl w:val="0"/>
          <w:numId w:val="1005"/>
        </w:numPr>
      </w:pPr>
      <w:r>
        <w:t xml:space="preserve">The company characterizes improved MRO demand as short-lived or uneven.</w:t>
      </w:r>
    </w:p>
    <w:bookmarkEnd w:id="19"/>
    <w:bookmarkEnd w:id="20"/>
    <w:bookmarkStart w:id="21" w:name="new-factor-for-the-call-cfo-transition"/>
    <w:p>
      <w:pPr>
        <w:pStyle w:val="Heading2"/>
      </w:pPr>
      <w:r>
        <w:t xml:space="preserve">New factor for the call: CFO transition</w:t>
      </w:r>
    </w:p>
    <w:p>
      <w:pPr>
        <w:pStyle w:val="FirstParagraph"/>
      </w:pPr>
      <w:r>
        <w:t xml:space="preserve">On August 3, Grainger disclosed that CFO</w:t>
      </w:r>
      <w:r>
        <w:t xml:space="preserve"> </w:t>
      </w:r>
      <w:r>
        <w:rPr>
          <w:b/>
          <w:bCs/>
        </w:rPr>
        <w:t xml:space="preserve">Deidra Merriwether</w:t>
      </w:r>
      <w:r>
        <w:t xml:space="preserve"> </w:t>
      </w:r>
      <w:r>
        <w:t xml:space="preserve">will resign effective</w:t>
      </w:r>
      <w:r>
        <w:t xml:space="preserve"> </w:t>
      </w:r>
      <w:r>
        <w:rPr>
          <w:b/>
          <w:bCs/>
        </w:rPr>
        <w:t xml:space="preserve">September 4, 2026</w:t>
      </w:r>
      <w:r>
        <w:t xml:space="preserve"> </w:t>
      </w:r>
      <w:r>
        <w:t xml:space="preserve">to pursue another opportunity; the company stated the departure was not related to disagreements over operations, financial reporting, controls, policies, practices, or its auditors. Controller</w:t>
      </w:r>
      <w:r>
        <w:t xml:space="preserve"> </w:t>
      </w:r>
      <w:r>
        <w:rPr>
          <w:b/>
          <w:bCs/>
        </w:rPr>
        <w:t xml:space="preserve">Laurie Thomson</w:t>
      </w:r>
      <w:r>
        <w:t xml:space="preserve"> </w:t>
      </w:r>
      <w:r>
        <w:t xml:space="preserve">will become interim CFO effective September 5 while Grainger begins an external search.</w:t>
      </w:r>
    </w:p>
    <w:p>
      <w:pPr>
        <w:pStyle w:val="BodyText"/>
      </w:pPr>
      <w:r>
        <w:t xml:space="preserve">This should not change Q2 operating results, but it adds a governance and execution topic to the call. Investors will likely seek reassurance around continuity in capital allocation, pricing discipline, the full-year outlook, and the finance organization’s bench strength.</w:t>
      </w:r>
    </w:p>
    <w:bookmarkEnd w:id="21"/>
    <w:bookmarkStart w:id="22" w:name="questions-that-matter-most-on-the-call"/>
    <w:p>
      <w:pPr>
        <w:pStyle w:val="Heading2"/>
      </w:pPr>
      <w:r>
        <w:t xml:space="preserve">Questions that matter most on the call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What was Q2 organic growth split between volume, price, and share gains?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Did April’s &gt;13% daily organic constant-currency growth persist through May and June?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Did gross margin reach the expected roughly 39% level, and how much was attributable to normal seasonality, private-brand costs, and fuel leakage?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Has Grainger begun recapturing fuel costs through pricing or contract changes?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What is the updated outlook for tariffs, supplier pricing, and direct-import/private-brand cost exposure?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Are MonotaRO and Zoro performing in line with the full-year Endless Assortment margin target?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Does management still expect a second-half margin recovery—the “U-shaped” cadence described in Q1?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Does the CFO transition affect the timing or philosophy of buybacks, dividends, capital spending, or M&amp;A?</w:t>
      </w:r>
    </w:p>
    <w:bookmarkEnd w:id="22"/>
    <w:bookmarkStart w:id="23" w:name="investor-takeaway"/>
    <w:p>
      <w:pPr>
        <w:pStyle w:val="Heading2"/>
      </w:pPr>
      <w:r>
        <w:t xml:space="preserve">Investor takeaway</w:t>
      </w:r>
    </w:p>
    <w:p>
      <w:pPr>
        <w:pStyle w:val="FirstParagraph"/>
      </w:pPr>
      <w:r>
        <w:t xml:space="preserve">GWW’s Q2 report is principally a test of</w:t>
      </w:r>
      <w:r>
        <w:t xml:space="preserve"> </w:t>
      </w:r>
      <w:r>
        <w:rPr>
          <w:b/>
          <w:bCs/>
        </w:rPr>
        <w:t xml:space="preserve">earnings quality and guide durability</w:t>
      </w:r>
      <w:r>
        <w:t xml:space="preserve">, not a test of whether revenue is growing. Grainger has already set a high top-line bar and telegraphed the margin step-down. A favorable reaction likely requires confirmation that:</w:t>
      </w:r>
    </w:p>
    <w:p>
      <w:pPr>
        <w:pStyle w:val="Compact"/>
        <w:numPr>
          <w:ilvl w:val="0"/>
          <w:numId w:val="1007"/>
        </w:numPr>
      </w:pPr>
      <w:r>
        <w:t xml:space="preserve">growth remains broad-based and increasingly volume/share-driven;</w:t>
      </w:r>
    </w:p>
    <w:p>
      <w:pPr>
        <w:pStyle w:val="Compact"/>
        <w:numPr>
          <w:ilvl w:val="0"/>
          <w:numId w:val="1007"/>
        </w:numPr>
      </w:pPr>
      <w:r>
        <w:t xml:space="preserve">the Q2 margin dip is temporary and consistent with prior messaging;</w:t>
      </w:r>
    </w:p>
    <w:p>
      <w:pPr>
        <w:pStyle w:val="Compact"/>
        <w:numPr>
          <w:ilvl w:val="0"/>
          <w:numId w:val="1007"/>
        </w:numPr>
      </w:pPr>
      <w:r>
        <w:t xml:space="preserve">fuel, private-brand, and tariff-related costs remain manageable; and</w:t>
      </w:r>
    </w:p>
    <w:p>
      <w:pPr>
        <w:pStyle w:val="Compact"/>
        <w:numPr>
          <w:ilvl w:val="0"/>
          <w:numId w:val="1007"/>
        </w:numPr>
      </w:pPr>
      <w:r>
        <w:t xml:space="preserve">full-year EPS and margin assumptions still leave room for a second-half recovery.</w:t>
      </w:r>
    </w:p>
    <w:p>
      <w:pPr>
        <w:pStyle w:val="FirstParagraph"/>
      </w:pPr>
      <w:r>
        <w:t xml:space="preserve">Conversely, the stock’s strong run into the report leaves limited room for a margin miss, a weaker-than-expected Q3 setup, or any indication that price/cost neutrality will take longer to restore.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invest.grainger.com/events-and-presentations/event-details/2026/Q2-2026-Grainger-Earnings-Release/default.aspx" TargetMode="External" /><Relationship Type="http://schemas.openxmlformats.org/officeDocument/2006/relationships/hyperlink" Id="rId16" Target="https://invest.grainger.com/investor-news/news-details/2025/GRAINGER-REPORTS-RESULTS-FOR-THE-SECOND-QUARTER-2025/default.aspx?utm_source=openai" TargetMode="External" /><Relationship Type="http://schemas.openxmlformats.org/officeDocument/2006/relationships/hyperlink" Id="rId11" Target="https://invest.grainger.com/investor-news/news-details/2026/GRAINGER-REPORTS-RESULTS-FOR-THE-FIRST-QUARTER-2026/default.aspx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invest.grainger.com/events-and-presentations/event-details/2026/Q2-2026-Grainger-Earnings-Release/default.aspx" TargetMode="External" /><Relationship Type="http://schemas.openxmlformats.org/officeDocument/2006/relationships/hyperlink" Id="rId16" Target="https://invest.grainger.com/investor-news/news-details/2025/GRAINGER-REPORTS-RESULTS-FOR-THE-SECOND-QUARTER-2025/default.aspx?utm_source=openai" TargetMode="External" /><Relationship Type="http://schemas.openxmlformats.org/officeDocument/2006/relationships/hyperlink" Id="rId11" Target="https://invest.grainger.com/investor-news/news-details/2026/GRAINGER-REPORTS-RESULTS-FOR-THE-FIRST-QUARTER-2026/default.aspx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2026-08-04T01:15:18Z</dcterms:created>
  <dcterms:modified xsi:type="dcterms:W3CDTF">2026-08-04T01:15:18Z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