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W.W. Grainger, Inc. (GWW) — Earnings Preview: Q2 2026</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W.W. Grainger, Inc.</w:t>
            </w:r>
          </w:p>
        </w:tc>
        <w:tc>
          <w:tcPr>
            <w:tcW w:type="dxa" w:w="2160"/>
          </w:tcPr>
          <w:p>
            <w:r>
              <w:rPr>
                <w:rFonts w:ascii="Calibri" w:hAnsi="Calibri"/>
                <w:b/>
                <w:sz w:val="22"/>
              </w:rPr>
              <w:t>Ticker</w:t>
            </w:r>
          </w:p>
        </w:tc>
        <w:tc>
          <w:tcPr>
            <w:tcW w:type="dxa" w:w="2160"/>
          </w:tcPr>
          <w:p>
            <w:r>
              <w:rPr>
                <w:rFonts w:ascii="Calibri" w:hAnsi="Calibri"/>
                <w:sz w:val="22"/>
              </w:rPr>
              <w:t>GWW</w:t>
            </w:r>
          </w:p>
        </w:tc>
      </w:tr>
      <w:tr>
        <w:tc>
          <w:tcPr>
            <w:tcW w:type="dxa" w:w="2160"/>
          </w:tcPr>
          <w:p>
            <w:r>
              <w:rPr>
                <w:rFonts w:ascii="Calibri" w:hAnsi="Calibri"/>
                <w:b/>
                <w:sz w:val="22"/>
              </w:rPr>
              <w:t>Upcoming Earnings</w:t>
            </w:r>
          </w:p>
        </w:tc>
        <w:tc>
          <w:tcPr>
            <w:tcW w:type="dxa" w:w="2160"/>
          </w:tcPr>
          <w:p>
            <w:r>
              <w:rPr>
                <w:rFonts w:ascii="Calibri" w:hAnsi="Calibri"/>
                <w:sz w:val="22"/>
              </w:rPr>
              <w:t>Q2 2026 (reporting imminently)</w:t>
            </w:r>
          </w:p>
        </w:tc>
        <w:tc>
          <w:tcPr>
            <w:tcW w:type="dxa" w:w="2160"/>
          </w:tcPr>
          <w:p>
            <w:r>
              <w:rPr>
                <w:rFonts w:ascii="Calibri" w:hAnsi="Calibri"/>
                <w:b/>
                <w:sz w:val="22"/>
              </w:rPr>
              <w:t>Prepared Date</w:t>
            </w:r>
          </w:p>
        </w:tc>
        <w:tc>
          <w:tcPr>
            <w:tcW w:type="dxa" w:w="2160"/>
          </w:tcPr>
          <w:p>
            <w:r>
              <w:rPr>
                <w:rFonts w:ascii="Calibri" w:hAnsi="Calibri"/>
                <w:sz w:val="22"/>
              </w:rPr>
              <w:t>August 3, 2026</w:t>
            </w:r>
          </w:p>
        </w:tc>
      </w:tr>
      <w:tr>
        <w:tc>
          <w:tcPr>
            <w:tcW w:type="dxa" w:w="2160"/>
          </w:tcPr>
          <w:p>
            <w:r>
              <w:rPr>
                <w:rFonts w:ascii="Calibri" w:hAnsi="Calibri"/>
                <w:b/>
                <w:sz w:val="22"/>
              </w:rPr>
              <w:t>Sector ETF</w:t>
            </w:r>
          </w:p>
        </w:tc>
        <w:tc>
          <w:tcPr>
            <w:tcW w:type="dxa" w:w="2160"/>
          </w:tcPr>
          <w:p>
            <w:r>
              <w:rPr>
                <w:rFonts w:ascii="Calibri" w:hAnsi="Calibri"/>
                <w:sz w:val="22"/>
              </w:rPr>
              <w:t>XLI (iShares U.S. Industrials ETF)</w:t>
            </w:r>
          </w:p>
        </w:tc>
        <w:tc>
          <w:tcPr>
            <w:tcW w:type="dxa" w:w="2160"/>
          </w:tcPr>
          <w:p>
            <w:r>
              <w:rPr>
                <w:rFonts w:ascii="Calibri" w:hAnsi="Calibri"/>
                <w:b/>
                <w:sz w:val="22"/>
              </w:rPr>
              <w:t>Last Earnings</w:t>
            </w:r>
          </w:p>
        </w:tc>
        <w:tc>
          <w:tcPr>
            <w:tcW w:type="dxa" w:w="2160"/>
          </w:tcPr>
          <w:p>
            <w:r>
              <w:rPr>
                <w:rFonts w:ascii="Calibri" w:hAnsi="Calibri"/>
                <w:sz w:val="22"/>
              </w:rPr>
              <w:t>May 7,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GWW's Q2 2026 print is </w:t>
      </w:r>
      <w:r>
        <w:rPr>
          <w:rFonts w:ascii="Calibri" w:hAnsi="Calibri"/>
          <w:b/>
          <w:color w:val="002FA7"/>
          <w:sz w:val="22"/>
        </w:rPr>
        <w:t>modestly constructive on revenue but cautious on margins</w:t>
      </w:r>
      <w:r>
        <w:rPr>
          <w:rFonts w:ascii="Calibri" w:hAnsi="Calibri"/>
          <w:b/>
          <w:color w:val="525866"/>
          <w:sz w:val="22"/>
        </w:rPr>
        <w:t xml:space="preserve"> — management guided explicitly to operating margins in the "low 15% range," a meaningful step-down from Q1's 16.7%, and the bar on profitability is well-understood; the swing factor is whether fuel cost and private-label FIFO inventory headwinds land at the low or high end of expectations.</w:t>
      </w:r>
    </w:p>
    <w:p>
      <w:r>
        <w:rPr>
          <w:rFonts w:ascii="Calibri" w:hAnsi="Calibri"/>
          <w:color w:val="525866"/>
          <w:sz w:val="22"/>
        </w:rPr>
        <w:t xml:space="preserve">Heading into Q2 2026, Grainger's revenue bar is achievable — management guided to sales "north of $4.9 billion" (approaching 12% daily organic constant currency growth), and consensus sits at $4.96B, implying the street is already pricing in a modest beat on the top line. The bigger debate is margin: management explicitly flagged a sequential step-down to the "low 15% range" driven by </w:t>
      </w:r>
      <w:r>
        <w:rPr>
          <w:rFonts w:ascii="Calibri" w:hAnsi="Calibri"/>
          <w:b/>
          <w:color w:val="525866"/>
          <w:sz w:val="22"/>
        </w:rPr>
        <w:t>fuel cost leakage on large-customer free-shipping contracts</w:t>
      </w:r>
      <w:r>
        <w:rPr>
          <w:rFonts w:ascii="Calibri" w:hAnsi="Calibri"/>
          <w:color w:val="525866"/>
          <w:sz w:val="22"/>
        </w:rPr>
        <w:t xml:space="preserve"> and </w:t>
      </w:r>
      <w:r>
        <w:rPr>
          <w:rFonts w:ascii="Calibri" w:hAnsi="Calibri"/>
          <w:b/>
          <w:color w:val="525866"/>
          <w:sz w:val="22"/>
        </w:rPr>
        <w:t>higher-cost private-label FIFO inventory</w:t>
      </w:r>
      <w:r>
        <w:rPr>
          <w:rFonts w:ascii="Calibri" w:hAnsi="Calibri"/>
          <w:color w:val="525866"/>
          <w:sz w:val="22"/>
        </w:rPr>
        <w:t xml:space="preserve"> that was expected to hit in Q1 but shifted into Q2 — a known headwind that the street has largely priced in (consensus operating margin of ~15.5%). Estimate revisions have drifted modestly higher since the Q1 print, with both revenue and EPS consensus up ~0.4% from the post-earnings baseline, suggesting the market is incrementally more constructive but not euphoric. The stock has outperformed XLI by ~580bps since the Q1 print (+11.1% vs. +5.3%), reflecting the strong Q1 beat and raised guidance, but the </w:t>
      </w:r>
      <w:r>
        <w:rPr>
          <w:rFonts w:ascii="Calibri" w:hAnsi="Calibri"/>
          <w:b/>
          <w:color w:val="525866"/>
          <w:sz w:val="22"/>
        </w:rPr>
        <w:t>CFO resignation disclosed on August 3</w:t>
      </w:r>
      <w:r>
        <w:rPr>
          <w:rFonts w:ascii="Calibri" w:hAnsi="Calibri"/>
          <w:color w:val="525866"/>
          <w:sz w:val="22"/>
        </w:rPr>
        <w:t xml:space="preserve"> (Deidra Merriwether departing September 4, VP/Controller Laurie Thomson named interim) introduces a leadership overhang that could weigh on sentiment regardless of the print. The key wildcard is </w:t>
      </w:r>
      <w:r>
        <w:rPr>
          <w:rFonts w:ascii="Calibri" w:hAnsi="Calibri"/>
          <w:b/>
          <w:color w:val="525866"/>
          <w:sz w:val="22"/>
        </w:rPr>
        <w:t>Middle East conflict escalation</w:t>
      </w:r>
      <w:r>
        <w:rPr>
          <w:rFonts w:ascii="Calibri" w:hAnsi="Calibri"/>
          <w:color w:val="525866"/>
          <w:sz w:val="22"/>
        </w:rPr>
        <w:t xml:space="preserve"> — diesel cost pressure and raw material supply disruption (particularly nitrile gloves) could surprise negatively on margins, especially for MonotaRO in Japan, while any de-escalation would be a meaningful relief catalyst for the back-half margin recovery thesis.</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w:t>
      </w:r>
      <w:r>
        <w:rPr>
          <w:rFonts w:ascii="Calibri" w:hAnsi="Calibri"/>
          <w:b/>
          <w:color w:val="525866"/>
          <w:sz w:val="22"/>
        </w:rPr>
        <w:t>manageable bar on revenue (~$4.96B) but a high bar on margins</w:t>
      </w:r>
      <w:r>
        <w:rPr>
          <w:rFonts w:ascii="Calibri" w:hAnsi="Calibri"/>
          <w:color w:val="525866"/>
          <w:sz w:val="22"/>
        </w:rPr>
        <w:t xml:space="preserve"> given management's explicit "low 15%" operating margin guide — the bigger swing factor is whether fuel and FIFO inventory headwinds land at the low or high end, making </w:t>
      </w:r>
      <w:r>
        <w:rPr>
          <w:rFonts w:ascii="Calibri" w:hAnsi="Calibri"/>
          <w:b/>
          <w:color w:val="525866"/>
          <w:sz w:val="22"/>
        </w:rPr>
        <w:t>operating margin the key KPI to watch</w:t>
      </w:r>
      <w:r>
        <w:rPr>
          <w:rFonts w:ascii="Calibri" w:hAnsi="Calibri"/>
          <w:color w:val="525866"/>
          <w:sz w:val="22"/>
        </w:rPr>
        <w:t xml:space="preserve"> on print day.</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 delta)</w:t>
            </w:r>
          </w:p>
        </w:tc>
      </w:tr>
      <w:tr>
        <w:tc>
          <w:tcPr>
            <w:tcW w:type="dxa" w:w="1234"/>
          </w:tcPr>
          <w:p>
            <w:r>
              <w:rPr>
                <w:rFonts w:ascii="Calibri" w:hAnsi="Calibri"/>
                <w:sz w:val="22"/>
              </w:rPr>
              <w:t>Revenue ($B)</w:t>
            </w:r>
          </w:p>
        </w:tc>
        <w:tc>
          <w:tcPr>
            <w:tcW w:type="dxa" w:w="1234"/>
          </w:tcPr>
          <w:p>
            <w:r>
              <w:rPr>
                <w:rFonts w:ascii="Calibri" w:hAnsi="Calibri"/>
                <w:sz w:val="22"/>
              </w:rPr>
              <w:t>$4.742B</w:t>
            </w:r>
          </w:p>
        </w:tc>
        <w:tc>
          <w:tcPr>
            <w:tcW w:type="dxa" w:w="1234"/>
          </w:tcPr>
          <w:p>
            <w:r>
              <w:rPr>
                <w:rFonts w:ascii="Calibri" w:hAnsi="Calibri"/>
                <w:sz w:val="22"/>
              </w:rPr>
              <w:t>$4.554B</w:t>
            </w:r>
          </w:p>
        </w:tc>
        <w:tc>
          <w:tcPr>
            <w:tcW w:type="dxa" w:w="1234"/>
          </w:tcPr>
          <w:p>
            <w:r>
              <w:rPr>
                <w:rFonts w:ascii="Calibri" w:hAnsi="Calibri"/>
                <w:sz w:val="22"/>
              </w:rPr>
              <w:t>$4.959B ¹</w:t>
            </w:r>
          </w:p>
        </w:tc>
        <w:tc>
          <w:tcPr>
            <w:tcW w:type="dxa" w:w="1234"/>
          </w:tcPr>
          <w:p>
            <w:r>
              <w:rPr>
                <w:rFonts w:ascii="Calibri" w:hAnsi="Calibri"/>
                <w:sz w:val="22"/>
              </w:rPr>
              <w:t>+8.9% YoY</w:t>
            </w:r>
          </w:p>
        </w:tc>
        <w:tc>
          <w:tcPr>
            <w:tcW w:type="dxa" w:w="1234"/>
          </w:tcPr>
          <w:p>
            <w:r>
              <w:rPr>
                <w:rFonts w:ascii="Calibri" w:hAnsi="Calibri"/>
                <w:sz w:val="22"/>
              </w:rPr>
              <w:t>"North of $4.9B"</w:t>
            </w:r>
          </w:p>
        </w:tc>
        <w:tc>
          <w:tcPr>
            <w:tcW w:type="dxa" w:w="1234"/>
          </w:tcPr>
          <w:p>
            <w:r>
              <w:rPr>
                <w:rFonts w:ascii="Calibri" w:hAnsi="Calibri"/>
                <w:sz w:val="22"/>
              </w:rPr>
              <w:t>+1.2% above floor</w:t>
            </w:r>
          </w:p>
        </w:tc>
      </w:tr>
      <w:tr>
        <w:tc>
          <w:tcPr>
            <w:tcW w:type="dxa" w:w="1234"/>
          </w:tcPr>
          <w:p>
            <w:r>
              <w:rPr>
                <w:rFonts w:ascii="Calibri" w:hAnsi="Calibri"/>
                <w:sz w:val="22"/>
              </w:rPr>
              <w:t>Daily Organic CC Growth (%)</w:t>
            </w:r>
          </w:p>
        </w:tc>
        <w:tc>
          <w:tcPr>
            <w:tcW w:type="dxa" w:w="1234"/>
          </w:tcPr>
          <w:p>
            <w:r>
              <w:rPr>
                <w:rFonts w:ascii="Calibri" w:hAnsi="Calibri"/>
                <w:sz w:val="22"/>
              </w:rPr>
              <w:t>+12.2%</w:t>
            </w:r>
          </w:p>
        </w:tc>
        <w:tc>
          <w:tcPr>
            <w:tcW w:type="dxa" w:w="1234"/>
          </w:tcPr>
          <w:p>
            <w:r>
              <w:rPr>
                <w:rFonts w:ascii="Calibri" w:hAnsi="Calibri"/>
                <w:sz w:val="22"/>
              </w:rPr>
              <w:t>+5.1%</w:t>
            </w:r>
          </w:p>
        </w:tc>
        <w:tc>
          <w:tcPr>
            <w:tcW w:type="dxa" w:w="1234"/>
          </w:tcPr>
          <w:p>
            <w:r>
              <w:rPr>
                <w:rFonts w:ascii="Calibri" w:hAnsi="Calibri"/>
                <w:sz w:val="22"/>
              </w:rPr>
              <w:t>+11.8% ¹</w:t>
            </w:r>
          </w:p>
        </w:tc>
        <w:tc>
          <w:tcPr>
            <w:tcW w:type="dxa" w:w="1234"/>
          </w:tcPr>
          <w:p>
            <w:r>
              <w:rPr>
                <w:rFonts w:ascii="Calibri" w:hAnsi="Calibri"/>
                <w:sz w:val="22"/>
              </w:rPr>
              <w:t>+670bps YoY</w:t>
            </w:r>
          </w:p>
        </w:tc>
        <w:tc>
          <w:tcPr>
            <w:tcW w:type="dxa" w:w="1234"/>
          </w:tcPr>
          <w:p>
            <w:r>
              <w:rPr>
                <w:rFonts w:ascii="Calibri" w:hAnsi="Calibri"/>
                <w:sz w:val="22"/>
              </w:rPr>
              <w:t>"Approaching 12%"</w:t>
            </w:r>
          </w:p>
        </w:tc>
        <w:tc>
          <w:tcPr>
            <w:tcW w:type="dxa" w:w="1234"/>
          </w:tcPr>
          <w:p>
            <w:r>
              <w:rPr>
                <w:rFonts w:ascii="Calibri" w:hAnsi="Calibri"/>
                <w:sz w:val="22"/>
              </w:rPr>
              <w:t>~In line</w:t>
            </w:r>
          </w:p>
        </w:tc>
      </w:tr>
      <w:tr>
        <w:tc>
          <w:tcPr>
            <w:tcW w:type="dxa" w:w="1234"/>
          </w:tcPr>
          <w:p>
            <w:r>
              <w:rPr>
                <w:rFonts w:ascii="Calibri" w:hAnsi="Calibri"/>
                <w:sz w:val="22"/>
              </w:rPr>
              <w:t>Operating EPS (Diluted, Adj.)</w:t>
            </w:r>
          </w:p>
        </w:tc>
        <w:tc>
          <w:tcPr>
            <w:tcW w:type="dxa" w:w="1234"/>
          </w:tcPr>
          <w:p>
            <w:r>
              <w:rPr>
                <w:rFonts w:ascii="Calibri" w:hAnsi="Calibri"/>
                <w:sz w:val="22"/>
              </w:rPr>
              <w:t>$11.65</w:t>
            </w:r>
          </w:p>
        </w:tc>
        <w:tc>
          <w:tcPr>
            <w:tcW w:type="dxa" w:w="1234"/>
          </w:tcPr>
          <w:p>
            <w:r>
              <w:rPr>
                <w:rFonts w:ascii="Calibri" w:hAnsi="Calibri"/>
                <w:sz w:val="22"/>
              </w:rPr>
              <w:t>$9.97</w:t>
            </w:r>
          </w:p>
        </w:tc>
        <w:tc>
          <w:tcPr>
            <w:tcW w:type="dxa" w:w="1234"/>
          </w:tcPr>
          <w:p>
            <w:r>
              <w:rPr>
                <w:rFonts w:ascii="Calibri" w:hAnsi="Calibri"/>
                <w:sz w:val="22"/>
              </w:rPr>
              <w:t>$11.28 ¹</w:t>
            </w:r>
          </w:p>
        </w:tc>
        <w:tc>
          <w:tcPr>
            <w:tcW w:type="dxa" w:w="1234"/>
          </w:tcPr>
          <w:p>
            <w:r>
              <w:rPr>
                <w:rFonts w:ascii="Calibri" w:hAnsi="Calibri"/>
                <w:sz w:val="22"/>
              </w:rPr>
              <w:t>+13.1% YoY</w:t>
            </w:r>
          </w:p>
        </w:tc>
        <w:tc>
          <w:tcPr>
            <w:tcW w:type="dxa" w:w="1234"/>
          </w:tcPr>
          <w:p>
            <w:r>
              <w:rPr>
                <w:rFonts w:ascii="Calibri" w:hAnsi="Calibri"/>
                <w:sz w:val="22"/>
              </w:rPr>
              <w:t>N/A (FY: $44.25–$46.25)</w:t>
            </w:r>
          </w:p>
        </w:tc>
        <w:tc>
          <w:tcPr>
            <w:tcW w:type="dxa" w:w="1234"/>
          </w:tcPr>
          <w:p>
            <w:r>
              <w:rPr>
                <w:rFonts w:ascii="Calibri" w:hAnsi="Calibri"/>
                <w:sz w:val="22"/>
              </w:rPr>
              <w:t>N/A (quarterly not guided)</w:t>
            </w:r>
          </w:p>
        </w:tc>
      </w:tr>
      <w:tr>
        <w:tc>
          <w:tcPr>
            <w:tcW w:type="dxa" w:w="1234"/>
          </w:tcPr>
          <w:p>
            <w:r>
              <w:rPr>
                <w:rFonts w:ascii="Calibri" w:hAnsi="Calibri"/>
                <w:sz w:val="22"/>
              </w:rPr>
              <w:t>Operating Margin (%)</w:t>
            </w:r>
          </w:p>
        </w:tc>
        <w:tc>
          <w:tcPr>
            <w:tcW w:type="dxa" w:w="1234"/>
          </w:tcPr>
          <w:p>
            <w:r>
              <w:rPr>
                <w:rFonts w:ascii="Calibri" w:hAnsi="Calibri"/>
                <w:sz w:val="22"/>
              </w:rPr>
              <w:t>16.7%</w:t>
            </w:r>
          </w:p>
        </w:tc>
        <w:tc>
          <w:tcPr>
            <w:tcW w:type="dxa" w:w="1234"/>
          </w:tcPr>
          <w:p>
            <w:r>
              <w:rPr>
                <w:rFonts w:ascii="Calibri" w:hAnsi="Calibri"/>
                <w:sz w:val="22"/>
              </w:rPr>
              <w:t>14.9%</w:t>
            </w:r>
          </w:p>
        </w:tc>
        <w:tc>
          <w:tcPr>
            <w:tcW w:type="dxa" w:w="1234"/>
          </w:tcPr>
          <w:p>
            <w:r>
              <w:rPr>
                <w:rFonts w:ascii="Calibri" w:hAnsi="Calibri"/>
                <w:sz w:val="22"/>
              </w:rPr>
              <w:t>15.5% ¹</w:t>
            </w:r>
          </w:p>
        </w:tc>
        <w:tc>
          <w:tcPr>
            <w:tcW w:type="dxa" w:w="1234"/>
          </w:tcPr>
          <w:p>
            <w:r>
              <w:rPr>
                <w:rFonts w:ascii="Calibri" w:hAnsi="Calibri"/>
                <w:sz w:val="22"/>
              </w:rPr>
              <w:t>+60bps YoY</w:t>
            </w:r>
          </w:p>
        </w:tc>
        <w:tc>
          <w:tcPr>
            <w:tcW w:type="dxa" w:w="1234"/>
          </w:tcPr>
          <w:p>
            <w:r>
              <w:rPr>
                <w:rFonts w:ascii="Calibri" w:hAnsi="Calibri"/>
                <w:sz w:val="22"/>
              </w:rPr>
              <w:t>"Low 15% range"</w:t>
            </w:r>
          </w:p>
        </w:tc>
        <w:tc>
          <w:tcPr>
            <w:tcW w:type="dxa" w:w="1234"/>
          </w:tcPr>
          <w:p>
            <w:r>
              <w:rPr>
                <w:rFonts w:ascii="Calibri" w:hAnsi="Calibri"/>
                <w:sz w:val="22"/>
              </w:rPr>
              <w:t>+~50bps above guide midpoint</w:t>
            </w:r>
          </w:p>
        </w:tc>
      </w:tr>
      <w:tr>
        <w:tc>
          <w:tcPr>
            <w:tcW w:type="dxa" w:w="1234"/>
          </w:tcPr>
          <w:p>
            <w:r>
              <w:rPr>
                <w:rFonts w:ascii="Calibri" w:hAnsi="Calibri"/>
                <w:sz w:val="22"/>
              </w:rPr>
              <w:t>Gross Margin (%)</w:t>
            </w:r>
          </w:p>
        </w:tc>
        <w:tc>
          <w:tcPr>
            <w:tcW w:type="dxa" w:w="1234"/>
          </w:tcPr>
          <w:p>
            <w:r>
              <w:rPr>
                <w:rFonts w:ascii="Calibri" w:hAnsi="Calibri"/>
                <w:sz w:val="22"/>
              </w:rPr>
              <w:t>40.0%</w:t>
            </w:r>
          </w:p>
        </w:tc>
        <w:tc>
          <w:tcPr>
            <w:tcW w:type="dxa" w:w="1234"/>
          </w:tcPr>
          <w:p>
            <w:r>
              <w:rPr>
                <w:rFonts w:ascii="Calibri" w:hAnsi="Calibri"/>
                <w:sz w:val="22"/>
              </w:rPr>
              <w:t>38.5%</w:t>
            </w:r>
          </w:p>
        </w:tc>
        <w:tc>
          <w:tcPr>
            <w:tcW w:type="dxa" w:w="1234"/>
          </w:tcPr>
          <w:p>
            <w:r>
              <w:rPr>
                <w:rFonts w:ascii="Calibri" w:hAnsi="Calibri"/>
                <w:sz w:val="22"/>
              </w:rPr>
              <w:t>38.9% ¹</w:t>
            </w:r>
          </w:p>
        </w:tc>
        <w:tc>
          <w:tcPr>
            <w:tcW w:type="dxa" w:w="1234"/>
          </w:tcPr>
          <w:p>
            <w:r>
              <w:rPr>
                <w:rFonts w:ascii="Calibri" w:hAnsi="Calibri"/>
                <w:sz w:val="22"/>
              </w:rPr>
              <w:t>+40bps YoY</w:t>
            </w:r>
          </w:p>
        </w:tc>
        <w:tc>
          <w:tcPr>
            <w:tcW w:type="dxa" w:w="1234"/>
          </w:tcPr>
          <w:p>
            <w:r>
              <w:rPr>
                <w:rFonts w:ascii="Calibri" w:hAnsi="Calibri"/>
                <w:sz w:val="22"/>
              </w:rPr>
              <w:t>N/A (not explicitly guided)</w:t>
            </w:r>
          </w:p>
        </w:tc>
        <w:tc>
          <w:tcPr>
            <w:tcW w:type="dxa" w:w="1234"/>
          </w:tcPr>
          <w:p>
            <w:r>
              <w:rPr>
                <w:rFonts w:ascii="Calibri" w:hAnsi="Calibri"/>
                <w:sz w:val="22"/>
              </w:rPr>
              <w:t>N/A</w:t>
            </w:r>
          </w:p>
        </w:tc>
      </w:tr>
      <w:tr>
        <w:tc>
          <w:tcPr>
            <w:tcW w:type="dxa" w:w="1234"/>
          </w:tcPr>
          <w:p>
            <w:r>
              <w:rPr>
                <w:rFonts w:ascii="Calibri" w:hAnsi="Calibri"/>
                <w:sz w:val="22"/>
              </w:rPr>
              <w:t>HTS Operating Margin (%)</w:t>
            </w:r>
          </w:p>
        </w:tc>
        <w:tc>
          <w:tcPr>
            <w:tcW w:type="dxa" w:w="1234"/>
          </w:tcPr>
          <w:p>
            <w:r>
              <w:rPr>
                <w:rFonts w:ascii="Calibri" w:hAnsi="Calibri"/>
                <w:sz w:val="22"/>
              </w:rPr>
              <w:t>18.3%</w:t>
            </w:r>
          </w:p>
        </w:tc>
        <w:tc>
          <w:tcPr>
            <w:tcW w:type="dxa" w:w="1234"/>
          </w:tcPr>
          <w:p>
            <w:r>
              <w:rPr>
                <w:rFonts w:ascii="Calibri" w:hAnsi="Calibri"/>
                <w:sz w:val="22"/>
              </w:rPr>
              <w:t>16.6%</w:t>
            </w:r>
          </w:p>
        </w:tc>
        <w:tc>
          <w:tcPr>
            <w:tcW w:type="dxa" w:w="1234"/>
          </w:tcPr>
          <w:p>
            <w:r>
              <w:rPr>
                <w:rFonts w:ascii="Calibri" w:hAnsi="Calibri"/>
                <w:sz w:val="22"/>
              </w:rPr>
              <w:t>17.1% ¹</w:t>
            </w:r>
          </w:p>
        </w:tc>
        <w:tc>
          <w:tcPr>
            <w:tcW w:type="dxa" w:w="1234"/>
          </w:tcPr>
          <w:p>
            <w:r>
              <w:rPr>
                <w:rFonts w:ascii="Calibri" w:hAnsi="Calibri"/>
                <w:sz w:val="22"/>
              </w:rPr>
              <w:t>+50bps YoY</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EA Operating Margin (%)</w:t>
            </w:r>
          </w:p>
        </w:tc>
        <w:tc>
          <w:tcPr>
            <w:tcW w:type="dxa" w:w="1234"/>
          </w:tcPr>
          <w:p>
            <w:r>
              <w:rPr>
                <w:rFonts w:ascii="Calibri" w:hAnsi="Calibri"/>
                <w:sz w:val="22"/>
              </w:rPr>
              <w:t>10.6%</w:t>
            </w:r>
          </w:p>
        </w:tc>
        <w:tc>
          <w:tcPr>
            <w:tcW w:type="dxa" w:w="1234"/>
          </w:tcPr>
          <w:p>
            <w:r>
              <w:rPr>
                <w:rFonts w:ascii="Calibri" w:hAnsi="Calibri"/>
                <w:sz w:val="22"/>
              </w:rPr>
              <w:t>9.9%</w:t>
            </w:r>
          </w:p>
        </w:tc>
        <w:tc>
          <w:tcPr>
            <w:tcW w:type="dxa" w:w="1234"/>
          </w:tcPr>
          <w:p>
            <w:r>
              <w:rPr>
                <w:rFonts w:ascii="Calibri" w:hAnsi="Calibri"/>
                <w:sz w:val="22"/>
              </w:rPr>
              <w:t>9.9% ¹</w:t>
            </w:r>
          </w:p>
        </w:tc>
        <w:tc>
          <w:tcPr>
            <w:tcW w:type="dxa" w:w="1234"/>
          </w:tcPr>
          <w:p>
            <w:r>
              <w:rPr>
                <w:rFonts w:ascii="Calibri" w:hAnsi="Calibri"/>
                <w:sz w:val="22"/>
              </w:rPr>
              <w:t>~Flat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¹ Source: Visible Alpha Consensus and Actuals Data</w:t>
      </w:r>
    </w:p>
    <w:p>
      <w:pPr>
        <w:pStyle w:val="Heading3"/>
      </w:pPr>
      <w:r>
        <w:rPr>
          <w:rFonts w:ascii="Calibri" w:hAnsi="Calibri"/>
          <w:b/>
          <w:color w:val="3B4259"/>
          <w:sz w:val="24"/>
        </w:rPr>
        <w:t>Table 2 — Beat/Miss History (Last 8 Quarters, Top 2 KPIs)</w:t>
      </w:r>
    </w:p>
    <w:p>
      <w:r>
        <w:rPr>
          <w:rFonts w:ascii="Calibri" w:hAnsi="Calibri"/>
          <w:b/>
          <w:color w:val="525866"/>
          <w:sz w:val="22"/>
        </w:rPr>
        <w:t>KPI 1: Daily Organic Constant Currency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12.2%</w:t>
            </w:r>
          </w:p>
        </w:tc>
        <w:tc>
          <w:tcPr>
            <w:tcW w:type="dxa" w:w="1728"/>
          </w:tcPr>
          <w:p>
            <w:r>
              <w:rPr>
                <w:rFonts w:ascii="Calibri" w:hAnsi="Calibri"/>
                <w:sz w:val="22"/>
              </w:rPr>
              <w:t>7.7%</w:t>
            </w:r>
          </w:p>
        </w:tc>
        <w:tc>
          <w:tcPr>
            <w:tcW w:type="dxa" w:w="1728"/>
          </w:tcPr>
          <w:p>
            <w:r>
              <w:rPr>
                <w:rFonts w:ascii="Calibri" w:hAnsi="Calibri"/>
                <w:b/>
                <w:color w:val="30A46C"/>
                <w:sz w:val="22"/>
              </w:rPr>
              <w:t>+450bps</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4.6%</w:t>
            </w:r>
          </w:p>
        </w:tc>
        <w:tc>
          <w:tcPr>
            <w:tcW w:type="dxa" w:w="1728"/>
          </w:tcPr>
          <w:p>
            <w:r>
              <w:rPr>
                <w:rFonts w:ascii="Calibri" w:hAnsi="Calibri"/>
                <w:sz w:val="22"/>
              </w:rPr>
              <w:t>4.5%</w:t>
            </w:r>
          </w:p>
        </w:tc>
        <w:tc>
          <w:tcPr>
            <w:tcW w:type="dxa" w:w="1728"/>
          </w:tcPr>
          <w:p>
            <w:r>
              <w:rPr>
                <w:rFonts w:ascii="Calibri" w:hAnsi="Calibri"/>
                <w:sz w:val="22"/>
              </w:rPr>
              <w:t>+10bps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5.4%</w:t>
            </w:r>
          </w:p>
        </w:tc>
        <w:tc>
          <w:tcPr>
            <w:tcW w:type="dxa" w:w="1728"/>
          </w:tcPr>
          <w:p>
            <w:r>
              <w:rPr>
                <w:rFonts w:ascii="Calibri" w:hAnsi="Calibri"/>
                <w:sz w:val="22"/>
              </w:rPr>
              <w:t>5.7%</w:t>
            </w:r>
          </w:p>
        </w:tc>
        <w:tc>
          <w:tcPr>
            <w:tcW w:type="dxa" w:w="1728"/>
          </w:tcPr>
          <w:p>
            <w:r>
              <w:rPr>
                <w:rFonts w:ascii="Calibri" w:hAnsi="Calibri"/>
                <w:b/>
                <w:color w:val="E5484D"/>
                <w:sz w:val="22"/>
              </w:rPr>
              <w:t>-30bps</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5.1%</w:t>
            </w:r>
          </w:p>
        </w:tc>
        <w:tc>
          <w:tcPr>
            <w:tcW w:type="dxa" w:w="1728"/>
          </w:tcPr>
          <w:p>
            <w:r>
              <w:rPr>
                <w:rFonts w:ascii="Calibri" w:hAnsi="Calibri"/>
                <w:sz w:val="22"/>
              </w:rPr>
              <w:t>5.4%</w:t>
            </w:r>
          </w:p>
        </w:tc>
        <w:tc>
          <w:tcPr>
            <w:tcW w:type="dxa" w:w="1728"/>
          </w:tcPr>
          <w:p>
            <w:r>
              <w:rPr>
                <w:rFonts w:ascii="Calibri" w:hAnsi="Calibri"/>
                <w:b/>
                <w:color w:val="E5484D"/>
                <w:sz w:val="22"/>
              </w:rPr>
              <w:t>-30bps</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4.4%</w:t>
            </w:r>
          </w:p>
        </w:tc>
        <w:tc>
          <w:tcPr>
            <w:tcW w:type="dxa" w:w="1728"/>
          </w:tcPr>
          <w:p>
            <w:r>
              <w:rPr>
                <w:rFonts w:ascii="Calibri" w:hAnsi="Calibri"/>
                <w:sz w:val="22"/>
              </w:rPr>
              <w:t>3.5%</w:t>
            </w:r>
          </w:p>
        </w:tc>
        <w:tc>
          <w:tcPr>
            <w:tcW w:type="dxa" w:w="1728"/>
          </w:tcPr>
          <w:p>
            <w:r>
              <w:rPr>
                <w:rFonts w:ascii="Calibri" w:hAnsi="Calibri"/>
                <w:b/>
                <w:color w:val="30A46C"/>
                <w:sz w:val="22"/>
              </w:rPr>
              <w:t>+90bps</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4.7%</w:t>
            </w:r>
          </w:p>
        </w:tc>
        <w:tc>
          <w:tcPr>
            <w:tcW w:type="dxa" w:w="1728"/>
          </w:tcPr>
          <w:p>
            <w:r>
              <w:rPr>
                <w:rFonts w:ascii="Calibri" w:hAnsi="Calibri"/>
                <w:sz w:val="22"/>
              </w:rPr>
              <w:t>5.6%</w:t>
            </w:r>
          </w:p>
        </w:tc>
        <w:tc>
          <w:tcPr>
            <w:tcW w:type="dxa" w:w="1728"/>
          </w:tcPr>
          <w:p>
            <w:r>
              <w:rPr>
                <w:rFonts w:ascii="Calibri" w:hAnsi="Calibri"/>
                <w:b/>
                <w:color w:val="E5484D"/>
                <w:sz w:val="22"/>
              </w:rPr>
              <w:t>-90bps</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4.0%</w:t>
            </w:r>
          </w:p>
        </w:tc>
        <w:tc>
          <w:tcPr>
            <w:tcW w:type="dxa" w:w="1728"/>
          </w:tcPr>
          <w:p>
            <w:r>
              <w:rPr>
                <w:rFonts w:ascii="Calibri" w:hAnsi="Calibri"/>
                <w:sz w:val="22"/>
              </w:rPr>
              <w:t>5.4%</w:t>
            </w:r>
          </w:p>
        </w:tc>
        <w:tc>
          <w:tcPr>
            <w:tcW w:type="dxa" w:w="1728"/>
          </w:tcPr>
          <w:p>
            <w:r>
              <w:rPr>
                <w:rFonts w:ascii="Calibri" w:hAnsi="Calibri"/>
                <w:b/>
                <w:color w:val="E5484D"/>
                <w:sz w:val="22"/>
              </w:rPr>
              <w:t>-140bps</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5.1%</w:t>
            </w:r>
          </w:p>
        </w:tc>
        <w:tc>
          <w:tcPr>
            <w:tcW w:type="dxa" w:w="1728"/>
          </w:tcPr>
          <w:p>
            <w:r>
              <w:rPr>
                <w:rFonts w:ascii="Calibri" w:hAnsi="Calibri"/>
                <w:sz w:val="22"/>
              </w:rPr>
              <w:t>5.4%</w:t>
            </w:r>
          </w:p>
        </w:tc>
        <w:tc>
          <w:tcPr>
            <w:tcW w:type="dxa" w:w="1728"/>
          </w:tcPr>
          <w:p>
            <w:r>
              <w:rPr>
                <w:rFonts w:ascii="Calibri" w:hAnsi="Calibri"/>
                <w:b/>
                <w:color w:val="E5484D"/>
                <w:sz w:val="22"/>
              </w:rPr>
              <w:t>-30bps</w:t>
            </w:r>
          </w:p>
        </w:tc>
        <w:tc>
          <w:tcPr>
            <w:tcW w:type="dxa" w:w="1728"/>
          </w:tcPr>
          <w:p>
            <w:r>
              <w:rPr>
                <w:rFonts w:ascii="Calibri" w:hAnsi="Calibri"/>
                <w:b/>
                <w:color w:val="E5484D"/>
                <w:sz w:val="22"/>
              </w:rPr>
              <w:t>MISS</w:t>
            </w:r>
          </w:p>
        </w:tc>
      </w:tr>
    </w:tbl>
    <w:p>
      <w:r>
        <w:rPr>
          <w:rFonts w:ascii="Calibri" w:hAnsi="Calibri"/>
          <w:b/>
          <w:color w:val="525866"/>
          <w:sz w:val="22"/>
        </w:rPr>
        <w:t>KPI 2: Operating EPS (Diluted, Adjusted)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$11.65</w:t>
            </w:r>
          </w:p>
        </w:tc>
        <w:tc>
          <w:tcPr>
            <w:tcW w:type="dxa" w:w="1728"/>
          </w:tcPr>
          <w:p>
            <w:r>
              <w:rPr>
                <w:rFonts w:ascii="Calibri" w:hAnsi="Calibri"/>
                <w:sz w:val="22"/>
              </w:rPr>
              <w:t>$10.19</w:t>
            </w:r>
          </w:p>
        </w:tc>
        <w:tc>
          <w:tcPr>
            <w:tcW w:type="dxa" w:w="1728"/>
          </w:tcPr>
          <w:p>
            <w:r>
              <w:rPr>
                <w:rFonts w:ascii="Calibri" w:hAnsi="Calibri"/>
                <w:b/>
                <w:color w:val="30A46C"/>
                <w:sz w:val="22"/>
              </w:rPr>
              <w:t>+14.3%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$9.44</w:t>
            </w:r>
          </w:p>
        </w:tc>
        <w:tc>
          <w:tcPr>
            <w:tcW w:type="dxa" w:w="1728"/>
          </w:tcPr>
          <w:p>
            <w:r>
              <w:rPr>
                <w:rFonts w:ascii="Calibri" w:hAnsi="Calibri"/>
                <w:sz w:val="22"/>
              </w:rPr>
              <w:t>$9.45</w:t>
            </w:r>
          </w:p>
        </w:tc>
        <w:tc>
          <w:tcPr>
            <w:tcW w:type="dxa" w:w="1728"/>
          </w:tcPr>
          <w:p>
            <w:r>
              <w:rPr>
                <w:rFonts w:ascii="Calibri" w:hAnsi="Calibri"/>
                <w:sz w:val="22"/>
              </w:rPr>
              <w:t>-0.1%</w:t>
            </w:r>
          </w:p>
        </w:tc>
        <w:tc>
          <w:tcPr>
            <w:tcW w:type="dxa" w:w="1728"/>
          </w:tcPr>
          <w:p>
            <w:r>
              <w:rPr>
                <w:rFonts w:ascii="Calibri" w:hAnsi="Calibri"/>
                <w:sz w:val="22"/>
              </w:rPr>
              <w:t>IN LINE</w:t>
            </w:r>
          </w:p>
        </w:tc>
      </w:tr>
      <w:tr>
        <w:tc>
          <w:tcPr>
            <w:tcW w:type="dxa" w:w="1728"/>
          </w:tcPr>
          <w:p>
            <w:r>
              <w:rPr>
                <w:rFonts w:ascii="Calibri" w:hAnsi="Calibri"/>
                <w:sz w:val="22"/>
              </w:rPr>
              <w:t>Q3 2025</w:t>
            </w:r>
          </w:p>
        </w:tc>
        <w:tc>
          <w:tcPr>
            <w:tcW w:type="dxa" w:w="1728"/>
          </w:tcPr>
          <w:p>
            <w:r>
              <w:rPr>
                <w:rFonts w:ascii="Calibri" w:hAnsi="Calibri"/>
                <w:sz w:val="22"/>
              </w:rPr>
              <w:t>$10.21</w:t>
            </w:r>
          </w:p>
        </w:tc>
        <w:tc>
          <w:tcPr>
            <w:tcW w:type="dxa" w:w="1728"/>
          </w:tcPr>
          <w:p>
            <w:r>
              <w:rPr>
                <w:rFonts w:ascii="Calibri" w:hAnsi="Calibri"/>
                <w:sz w:val="22"/>
              </w:rPr>
              <w:t>$9.92</w:t>
            </w:r>
          </w:p>
        </w:tc>
        <w:tc>
          <w:tcPr>
            <w:tcW w:type="dxa" w:w="1728"/>
          </w:tcPr>
          <w:p>
            <w:r>
              <w:rPr>
                <w:rFonts w:ascii="Calibri" w:hAnsi="Calibri"/>
                <w:b/>
                <w:color w:val="30A46C"/>
                <w:sz w:val="22"/>
              </w:rPr>
              <w:t>+2.9%</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$9.97</w:t>
            </w:r>
          </w:p>
        </w:tc>
        <w:tc>
          <w:tcPr>
            <w:tcW w:type="dxa" w:w="1728"/>
          </w:tcPr>
          <w:p>
            <w:r>
              <w:rPr>
                <w:rFonts w:ascii="Calibri" w:hAnsi="Calibri"/>
                <w:sz w:val="22"/>
              </w:rPr>
              <w:t>$10.09</w:t>
            </w:r>
          </w:p>
        </w:tc>
        <w:tc>
          <w:tcPr>
            <w:tcW w:type="dxa" w:w="1728"/>
          </w:tcPr>
          <w:p>
            <w:r>
              <w:rPr>
                <w:rFonts w:ascii="Calibri" w:hAnsi="Calibri"/>
                <w:b/>
                <w:color w:val="E5484D"/>
                <w:sz w:val="22"/>
              </w:rPr>
              <w:t>-1.2%</w:t>
            </w:r>
          </w:p>
        </w:tc>
        <w:tc>
          <w:tcPr>
            <w:tcW w:type="dxa" w:w="1728"/>
          </w:tcPr>
          <w:p>
            <w:r>
              <w:rPr>
                <w:rFonts w:ascii="Calibri" w:hAnsi="Calibri"/>
                <w:b/>
                <w:color w:val="E5484D"/>
                <w:sz w:val="22"/>
              </w:rPr>
              <w:t>MISS</w:t>
            </w:r>
          </w:p>
        </w:tc>
      </w:tr>
      <w:tr>
        <w:tc>
          <w:tcPr>
            <w:tcW w:type="dxa" w:w="1728"/>
          </w:tcPr>
          <w:p>
            <w:r>
              <w:rPr>
                <w:rFonts w:ascii="Calibri" w:hAnsi="Calibri"/>
                <w:sz w:val="22"/>
              </w:rPr>
              <w:t>Q1 2025</w:t>
            </w:r>
          </w:p>
        </w:tc>
        <w:tc>
          <w:tcPr>
            <w:tcW w:type="dxa" w:w="1728"/>
          </w:tcPr>
          <w:p>
            <w:r>
              <w:rPr>
                <w:rFonts w:ascii="Calibri" w:hAnsi="Calibri"/>
                <w:sz w:val="22"/>
              </w:rPr>
              <w:t>$9.86</w:t>
            </w:r>
          </w:p>
        </w:tc>
        <w:tc>
          <w:tcPr>
            <w:tcW w:type="dxa" w:w="1728"/>
          </w:tcPr>
          <w:p>
            <w:r>
              <w:rPr>
                <w:rFonts w:ascii="Calibri" w:hAnsi="Calibri"/>
                <w:sz w:val="22"/>
              </w:rPr>
              <w:t>$9.51</w:t>
            </w:r>
          </w:p>
        </w:tc>
        <w:tc>
          <w:tcPr>
            <w:tcW w:type="dxa" w:w="1728"/>
          </w:tcPr>
          <w:p>
            <w:r>
              <w:rPr>
                <w:rFonts w:ascii="Calibri" w:hAnsi="Calibri"/>
                <w:b/>
                <w:color w:val="30A46C"/>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$9.71</w:t>
            </w:r>
          </w:p>
        </w:tc>
        <w:tc>
          <w:tcPr>
            <w:tcW w:type="dxa" w:w="1728"/>
          </w:tcPr>
          <w:p>
            <w:r>
              <w:rPr>
                <w:rFonts w:ascii="Calibri" w:hAnsi="Calibri"/>
                <w:sz w:val="22"/>
              </w:rPr>
              <w:t>$9.73</w:t>
            </w:r>
          </w:p>
        </w:tc>
        <w:tc>
          <w:tcPr>
            <w:tcW w:type="dxa" w:w="1728"/>
          </w:tcPr>
          <w:p>
            <w:r>
              <w:rPr>
                <w:rFonts w:ascii="Calibri" w:hAnsi="Calibri"/>
                <w:sz w:val="22"/>
              </w:rPr>
              <w:t>-0.2%</w:t>
            </w:r>
          </w:p>
        </w:tc>
        <w:tc>
          <w:tcPr>
            <w:tcW w:type="dxa" w:w="1728"/>
          </w:tcPr>
          <w:p>
            <w:r>
              <w:rPr>
                <w:rFonts w:ascii="Calibri" w:hAnsi="Calibri"/>
                <w:sz w:val="22"/>
              </w:rPr>
              <w:t>IN LINE</w:t>
            </w:r>
          </w:p>
        </w:tc>
      </w:tr>
      <w:tr>
        <w:tc>
          <w:tcPr>
            <w:tcW w:type="dxa" w:w="1728"/>
          </w:tcPr>
          <w:p>
            <w:r>
              <w:rPr>
                <w:rFonts w:ascii="Calibri" w:hAnsi="Calibri"/>
                <w:sz w:val="22"/>
              </w:rPr>
              <w:t>Q3 2024</w:t>
            </w:r>
          </w:p>
        </w:tc>
        <w:tc>
          <w:tcPr>
            <w:tcW w:type="dxa" w:w="1728"/>
          </w:tcPr>
          <w:p>
            <w:r>
              <w:rPr>
                <w:rFonts w:ascii="Calibri" w:hAnsi="Calibri"/>
                <w:sz w:val="22"/>
              </w:rPr>
              <w:t>$9.87</w:t>
            </w:r>
          </w:p>
        </w:tc>
        <w:tc>
          <w:tcPr>
            <w:tcW w:type="dxa" w:w="1728"/>
          </w:tcPr>
          <w:p>
            <w:r>
              <w:rPr>
                <w:rFonts w:ascii="Calibri" w:hAnsi="Calibri"/>
                <w:sz w:val="22"/>
              </w:rPr>
              <w:t>$9.97</w:t>
            </w:r>
          </w:p>
        </w:tc>
        <w:tc>
          <w:tcPr>
            <w:tcW w:type="dxa" w:w="1728"/>
          </w:tcPr>
          <w:p>
            <w:r>
              <w:rPr>
                <w:rFonts w:ascii="Calibri" w:hAnsi="Calibri"/>
                <w:b/>
                <w:color w:val="E5484D"/>
                <w:sz w:val="22"/>
              </w:rPr>
              <w:t>-1.0%</w:t>
            </w:r>
          </w:p>
        </w:tc>
        <w:tc>
          <w:tcPr>
            <w:tcW w:type="dxa" w:w="1728"/>
          </w:tcPr>
          <w:p>
            <w:r>
              <w:rPr>
                <w:rFonts w:ascii="Calibri" w:hAnsi="Calibri"/>
                <w:b/>
                <w:color w:val="E5484D"/>
                <w:sz w:val="22"/>
              </w:rPr>
              <w:t>MISS</w:t>
            </w:r>
          </w:p>
        </w:tc>
      </w:tr>
      <w:tr>
        <w:tc>
          <w:tcPr>
            <w:tcW w:type="dxa" w:w="1728"/>
          </w:tcPr>
          <w:p>
            <w:r>
              <w:rPr>
                <w:rFonts w:ascii="Calibri" w:hAnsi="Calibri"/>
                <w:sz w:val="22"/>
              </w:rPr>
              <w:t>Q2 2024</w:t>
            </w:r>
          </w:p>
        </w:tc>
        <w:tc>
          <w:tcPr>
            <w:tcW w:type="dxa" w:w="1728"/>
          </w:tcPr>
          <w:p>
            <w:r>
              <w:rPr>
                <w:rFonts w:ascii="Calibri" w:hAnsi="Calibri"/>
                <w:sz w:val="22"/>
              </w:rPr>
              <w:t>$9.76</w:t>
            </w:r>
          </w:p>
        </w:tc>
        <w:tc>
          <w:tcPr>
            <w:tcW w:type="dxa" w:w="1728"/>
          </w:tcPr>
          <w:p>
            <w:r>
              <w:rPr>
                <w:rFonts w:ascii="Calibri" w:hAnsi="Calibri"/>
                <w:sz w:val="22"/>
              </w:rPr>
              <w:t>$9.59</w:t>
            </w:r>
          </w:p>
        </w:tc>
        <w:tc>
          <w:tcPr>
            <w:tcW w:type="dxa" w:w="1728"/>
          </w:tcPr>
          <w:p>
            <w:r>
              <w:rPr>
                <w:rFonts w:ascii="Calibri" w:hAnsi="Calibri"/>
                <w:b/>
                <w:color w:val="30A46C"/>
                <w:sz w:val="22"/>
              </w:rPr>
              <w:t>+1.8%</w:t>
            </w:r>
          </w:p>
        </w:tc>
        <w:tc>
          <w:tcPr>
            <w:tcW w:type="dxa" w:w="1728"/>
          </w:tcPr>
          <w:p>
            <w:r>
              <w:rPr>
                <w:rFonts w:ascii="Calibri" w:hAnsi="Calibri"/>
                <w:b/>
                <w:color w:val="30A46C"/>
                <w:sz w:val="22"/>
              </w:rPr>
              <w:t>BEAT</w:t>
            </w:r>
          </w:p>
        </w:tc>
      </w:tr>
    </w:tbl>
    <w:p>
      <w:r>
        <w:rPr>
          <w:rFonts w:ascii="Calibri" w:hAnsi="Calibri"/>
          <w:i/>
          <w:color w:val="525866"/>
          <w:sz w:val="22"/>
        </w:rPr>
        <w:t xml:space="preserve">Source: Visible Alpha Consensus and Actuals Data. </w:t>
      </w:r>
      <w:r>
        <w:rPr>
          <w:rFonts w:ascii="Calibri" w:hAnsi="Calibri"/>
          <w:color w:val="525866"/>
          <w:sz w:val="22"/>
        </w:rPr>
        <w:t>Pattern: GWW has a mixed beat/miss history on organic growth (5 misses in last 8 quarters), but the Q1 2026 blowout beat (+450bps) reset expectations sharply higher; EPS beats are more consistent (5 beats in 8 quarters), with the Q1 2026 print the largest positive surprise in the series.</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Management's tone has been </w:t>
      </w:r>
      <w:r>
        <w:rPr>
          <w:rFonts w:ascii="Calibri" w:hAnsi="Calibri"/>
          <w:b/>
          <w:color w:val="525866"/>
          <w:sz w:val="22"/>
        </w:rPr>
        <w:t>constructive but deliberately cautious on Q2 margins</w:t>
      </w:r>
      <w:r>
        <w:rPr>
          <w:rFonts w:ascii="Calibri" w:hAnsi="Calibri"/>
          <w:color w:val="525866"/>
          <w:sz w:val="22"/>
        </w:rPr>
        <w:t xml:space="preserve"> since the Q1 print — the Q2 operating margin guide of "low 15% range" is explicit and well-telegraphed, while the full-year guidance raise signals confidence in the back-half recovery; </w:t>
      </w:r>
      <w:r>
        <w:rPr>
          <w:rFonts w:ascii="Calibri" w:hAnsi="Calibri"/>
          <w:b/>
          <w:color w:val="525866"/>
          <w:sz w:val="22"/>
        </w:rPr>
        <w:t>no post-earnings revisions to guidance have been issued</w:t>
      </w:r>
      <w:r>
        <w:rPr>
          <w:rFonts w:ascii="Calibri" w:hAnsi="Calibri"/>
          <w:color w:val="525866"/>
          <w:sz w:val="22"/>
        </w:rPr>
        <w:t xml:space="preserve"> via 8-K or conference, so the Q1 earnings call remains the baseline.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7,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"North of $4.9B" / approaching 12% daily organic CC growth</w:t>
            </w:r>
          </w:p>
        </w:tc>
        <w:tc>
          <w:tcPr>
            <w:tcW w:type="dxa" w:w="1728"/>
          </w:tcPr>
          <w:p>
            <w:r>
              <w:rPr>
                <w:rFonts w:ascii="Calibri" w:hAnsi="Calibri"/>
                <w:sz w:val="22"/>
              </w:rPr>
              <w:t>—</w:t>
            </w:r>
          </w:p>
        </w:tc>
        <w:tc>
          <w:tcPr>
            <w:tcW w:type="dxa" w:w="1728"/>
          </w:tcPr>
          <w:p>
            <w:r>
              <w:rPr>
                <w:rFonts w:ascii="Calibri" w:hAnsi="Calibri"/>
                <w:sz w:val="22"/>
              </w:rPr>
              <w:t>$4.959B ¹</w:t>
            </w:r>
          </w:p>
        </w:tc>
        <w:tc>
          <w:tcPr>
            <w:tcW w:type="dxa" w:w="1728"/>
          </w:tcPr>
          <w:p>
            <w:r>
              <w:rPr>
                <w:rFonts w:ascii="Calibri" w:hAnsi="Calibri"/>
                <w:sz w:val="22"/>
              </w:rPr>
              <w:t>Unchanged; consensus +1.2% above floor; April MTD up &gt;13% organic CC provided confidence</w:t>
            </w:r>
          </w:p>
        </w:tc>
      </w:tr>
      <w:tr>
        <w:tc>
          <w:tcPr>
            <w:tcW w:type="dxa" w:w="1728"/>
          </w:tcPr>
          <w:p>
            <w:r>
              <w:rPr>
                <w:rFonts w:ascii="Calibri" w:hAnsi="Calibri"/>
                <w:sz w:val="22"/>
              </w:rPr>
              <w:t>Q2 2026 Operating Margin</w:t>
            </w:r>
          </w:p>
        </w:tc>
        <w:tc>
          <w:tcPr>
            <w:tcW w:type="dxa" w:w="1728"/>
          </w:tcPr>
          <w:p>
            <w:r>
              <w:rPr>
                <w:rFonts w:ascii="Calibri" w:hAnsi="Calibri"/>
                <w:sz w:val="22"/>
              </w:rPr>
              <w:t>"Low 15% range" for total company</w:t>
            </w:r>
          </w:p>
        </w:tc>
        <w:tc>
          <w:tcPr>
            <w:tcW w:type="dxa" w:w="1728"/>
          </w:tcPr>
          <w:p>
            <w:r>
              <w:rPr>
                <w:rFonts w:ascii="Calibri" w:hAnsi="Calibri"/>
                <w:sz w:val="22"/>
              </w:rPr>
              <w:t>—</w:t>
            </w:r>
          </w:p>
        </w:tc>
        <w:tc>
          <w:tcPr>
            <w:tcW w:type="dxa" w:w="1728"/>
          </w:tcPr>
          <w:p>
            <w:r>
              <w:rPr>
                <w:rFonts w:ascii="Calibri" w:hAnsi="Calibri"/>
                <w:sz w:val="22"/>
              </w:rPr>
              <w:t>~15.5% ¹</w:t>
            </w:r>
          </w:p>
        </w:tc>
        <w:tc>
          <w:tcPr>
            <w:tcW w:type="dxa" w:w="1728"/>
          </w:tcPr>
          <w:p>
            <w:r>
              <w:rPr>
                <w:rFonts w:ascii="Calibri" w:hAnsi="Calibri"/>
                <w:sz w:val="22"/>
              </w:rPr>
              <w:t>Unchanged; consensus ~50bps above guide midpoint; headwinds from fuel costs and private-label FIFO inventory explicitly flagged</w:t>
            </w:r>
          </w:p>
        </w:tc>
      </w:tr>
      <w:tr>
        <w:tc>
          <w:tcPr>
            <w:tcW w:type="dxa" w:w="1728"/>
          </w:tcPr>
          <w:p>
            <w:r>
              <w:rPr>
                <w:rFonts w:ascii="Calibri" w:hAnsi="Calibri"/>
                <w:sz w:val="22"/>
              </w:rPr>
              <w:t>FY 2026 Daily Organic CC Growth</w:t>
            </w:r>
          </w:p>
        </w:tc>
        <w:tc>
          <w:tcPr>
            <w:tcW w:type="dxa" w:w="1728"/>
          </w:tcPr>
          <w:p>
            <w:r>
              <w:rPr>
                <w:rFonts w:ascii="Calibri" w:hAnsi="Calibri"/>
                <w:sz w:val="22"/>
              </w:rPr>
              <w:t>9.5%–12.0% (raised from prior range)</w:t>
            </w:r>
          </w:p>
        </w:tc>
        <w:tc>
          <w:tcPr>
            <w:tcW w:type="dxa" w:w="1728"/>
          </w:tcPr>
          <w:p>
            <w:r>
              <w:rPr>
                <w:rFonts w:ascii="Calibri" w:hAnsi="Calibri"/>
                <w:sz w:val="22"/>
              </w:rPr>
              <w:t>—</w:t>
            </w:r>
          </w:p>
        </w:tc>
        <w:tc>
          <w:tcPr>
            <w:tcW w:type="dxa" w:w="1728"/>
          </w:tcPr>
          <w:p>
            <w:r>
              <w:rPr>
                <w:rFonts w:ascii="Calibri" w:hAnsi="Calibri"/>
                <w:sz w:val="22"/>
              </w:rPr>
              <w:t>~10.6% ¹</w:t>
            </w:r>
          </w:p>
        </w:tc>
        <w:tc>
          <w:tcPr>
            <w:tcW w:type="dxa" w:w="1728"/>
          </w:tcPr>
          <w:p>
            <w:r>
              <w:rPr>
                <w:rFonts w:ascii="Calibri" w:hAnsi="Calibri"/>
                <w:sz w:val="22"/>
              </w:rPr>
              <w:t>Unchanged; consensus at midpoint of raised range; reflects Q1 strength and improved MRO market demand</w:t>
            </w:r>
          </w:p>
        </w:tc>
      </w:tr>
      <w:tr>
        <w:tc>
          <w:tcPr>
            <w:tcW w:type="dxa" w:w="1728"/>
          </w:tcPr>
          <w:p>
            <w:r>
              <w:rPr>
                <w:rFonts w:ascii="Calibri" w:hAnsi="Calibri"/>
                <w:sz w:val="22"/>
              </w:rPr>
              <w:t>FY 2026 Diluted Operating EPS</w:t>
            </w:r>
          </w:p>
        </w:tc>
        <w:tc>
          <w:tcPr>
            <w:tcW w:type="dxa" w:w="1728"/>
          </w:tcPr>
          <w:p>
            <w:r>
              <w:rPr>
                <w:rFonts w:ascii="Calibri" w:hAnsi="Calibri"/>
                <w:sz w:val="22"/>
              </w:rPr>
              <w:t>$44.25–$46.25 (midpoint $45.25; raised $1.75 vs. prior guide)</w:t>
            </w:r>
          </w:p>
        </w:tc>
        <w:tc>
          <w:tcPr>
            <w:tcW w:type="dxa" w:w="1728"/>
          </w:tcPr>
          <w:p>
            <w:r>
              <w:rPr>
                <w:rFonts w:ascii="Calibri" w:hAnsi="Calibri"/>
                <w:sz w:val="22"/>
              </w:rPr>
              <w:t>—</w:t>
            </w:r>
          </w:p>
        </w:tc>
        <w:tc>
          <w:tcPr>
            <w:tcW w:type="dxa" w:w="1728"/>
          </w:tcPr>
          <w:p>
            <w:r>
              <w:rPr>
                <w:rFonts w:ascii="Calibri" w:hAnsi="Calibri"/>
                <w:sz w:val="22"/>
              </w:rPr>
              <w:t>$45.69 ¹</w:t>
            </w:r>
          </w:p>
        </w:tc>
        <w:tc>
          <w:tcPr>
            <w:tcW w:type="dxa" w:w="1728"/>
          </w:tcPr>
          <w:p>
            <w:r>
              <w:rPr>
                <w:rFonts w:ascii="Calibri" w:hAnsi="Calibri"/>
                <w:sz w:val="22"/>
              </w:rPr>
              <w:t>Unchanged; consensus $0.44 above midpoint; ~15% YoY growth at midpoint; partially offset by higher incentive comp and fuel cost headwinds</w:t>
            </w:r>
          </w:p>
        </w:tc>
      </w:tr>
      <w:tr>
        <w:tc>
          <w:tcPr>
            <w:tcW w:type="dxa" w:w="1728"/>
          </w:tcPr>
          <w:p>
            <w:r>
              <w:rPr>
                <w:rFonts w:ascii="Calibri" w:hAnsi="Calibri"/>
                <w:sz w:val="22"/>
              </w:rPr>
              <w:t>FY 2026 Operating Margin</w:t>
            </w:r>
          </w:p>
        </w:tc>
        <w:tc>
          <w:tcPr>
            <w:tcW w:type="dxa" w:w="1728"/>
          </w:tcPr>
          <w:p>
            <w:r>
              <w:rPr>
                <w:rFonts w:ascii="Calibri" w:hAnsi="Calibri"/>
                <w:sz w:val="22"/>
              </w:rPr>
              <w:t>Ticked up slightly at midpoint vs. prior guide; U-shaped trajectory with Q2 as trough</w:t>
            </w:r>
          </w:p>
        </w:tc>
        <w:tc>
          <w:tcPr>
            <w:tcW w:type="dxa" w:w="1728"/>
          </w:tcPr>
          <w:p>
            <w:r>
              <w:rPr>
                <w:rFonts w:ascii="Calibri" w:hAnsi="Calibri"/>
                <w:sz w:val="22"/>
              </w:rPr>
              <w:t>—</w:t>
            </w:r>
          </w:p>
        </w:tc>
        <w:tc>
          <w:tcPr>
            <w:tcW w:type="dxa" w:w="1728"/>
          </w:tcPr>
          <w:p>
            <w:r>
              <w:rPr>
                <w:rFonts w:ascii="Calibri" w:hAnsi="Calibri"/>
                <w:sz w:val="22"/>
              </w:rPr>
              <w:t>~15.9% ¹</w:t>
            </w:r>
          </w:p>
        </w:tc>
        <w:tc>
          <w:tcPr>
            <w:tcW w:type="dxa" w:w="1728"/>
          </w:tcPr>
          <w:p>
            <w:r>
              <w:rPr>
                <w:rFonts w:ascii="Calibri" w:hAnsi="Calibri"/>
                <w:sz w:val="22"/>
              </w:rPr>
              <w:t>Unchanged; back-half recovery expected as LIFO headwinds normalize and pricing catches up to costs</w:t>
            </w:r>
          </w:p>
        </w:tc>
      </w:tr>
      <w:tr>
        <w:tc>
          <w:tcPr>
            <w:tcW w:type="dxa" w:w="1728"/>
          </w:tcPr>
          <w:p>
            <w:r>
              <w:rPr>
                <w:rFonts w:ascii="Calibri" w:hAnsi="Calibri"/>
                <w:sz w:val="22"/>
              </w:rPr>
              <w:t>Pricing Posture</w:t>
            </w:r>
          </w:p>
        </w:tc>
        <w:tc>
          <w:tcPr>
            <w:tcW w:type="dxa" w:w="1728"/>
          </w:tcPr>
          <w:p>
            <w:r>
              <w:rPr>
                <w:rFonts w:ascii="Calibri" w:hAnsi="Calibri"/>
                <w:sz w:val="22"/>
              </w:rPr>
              <w:t>May pricing net neutral in total; September cycle next opportunity; ~4% price for FY vs. ~5% in Q1</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Section 232 modifications still being assessed; IEEPA recovery monitoring ongoing</w:t>
            </w:r>
          </w:p>
        </w:tc>
      </w:tr>
    </w:tbl>
    <w:p>
      <w:r>
        <w:rPr>
          <w:rFonts w:ascii="Calibri" w:hAnsi="Calibri"/>
          <w:i/>
          <w:color w:val="525866"/>
          <w:sz w:val="22"/>
        </w:rPr>
        <w:t>¹ Source: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w:t>
      </w:r>
      <w:r>
        <w:rPr>
          <w:rFonts w:ascii="Calibri" w:hAnsi="Calibri"/>
          <w:b/>
          <w:color w:val="525866"/>
          <w:sz w:val="22"/>
        </w:rPr>
        <w:t>drifted modestly higher</w:t>
      </w:r>
      <w:r>
        <w:rPr>
          <w:rFonts w:ascii="Calibri" w:hAnsi="Calibri"/>
          <w:color w:val="525866"/>
          <w:sz w:val="22"/>
        </w:rPr>
        <w:t xml:space="preserve"> since the Q1 2026 print across all key metrics, with Q2 revenue up ~0.4% and FY EPS up ~0.3% from the post-earnings baseline — revisions are </w:t>
      </w:r>
      <w:r>
        <w:rPr>
          <w:rFonts w:ascii="Calibri" w:hAnsi="Calibri"/>
          <w:b/>
          <w:color w:val="525866"/>
          <w:sz w:val="22"/>
        </w:rPr>
        <w:t>tracking with guidance rather than diverging</w:t>
      </w:r>
      <w:r>
        <w:rPr>
          <w:rFonts w:ascii="Calibri" w:hAnsi="Calibri"/>
          <w:color w:val="525866"/>
          <w:sz w:val="22"/>
        </w:rPr>
        <w:t>, and the gap between consensus and guidance midpoints represents a small cushion rather than a meaningful risk.</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Q2 2026</w:t>
            </w:r>
          </w:p>
        </w:tc>
        <w:tc>
          <w:tcPr>
            <w:tcW w:type="dxa" w:w="1080"/>
          </w:tcPr>
          <w:p>
            <w:r>
              <w:rPr>
                <w:rFonts w:ascii="Calibri" w:hAnsi="Calibri"/>
                <w:sz w:val="22"/>
              </w:rPr>
              <w:t>$4.941B ¹</w:t>
            </w:r>
          </w:p>
        </w:tc>
        <w:tc>
          <w:tcPr>
            <w:tcW w:type="dxa" w:w="1080"/>
          </w:tcPr>
          <w:p>
            <w:r>
              <w:rPr>
                <w:rFonts w:ascii="Calibri" w:hAnsi="Calibri"/>
                <w:sz w:val="22"/>
              </w:rPr>
              <w:t>$4.959B ¹</w:t>
            </w:r>
          </w:p>
        </w:tc>
        <w:tc>
          <w:tcPr>
            <w:tcW w:type="dxa" w:w="1080"/>
          </w:tcPr>
          <w:p>
            <w:r>
              <w:rPr>
                <w:rFonts w:ascii="Calibri" w:hAnsi="Calibri"/>
                <w:b/>
                <w:color w:val="30A46C"/>
                <w:sz w:val="22"/>
              </w:rPr>
              <w:t>+0.4%</w:t>
            </w:r>
          </w:p>
        </w:tc>
        <w:tc>
          <w:tcPr>
            <w:tcW w:type="dxa" w:w="1080"/>
          </w:tcPr>
          <w:p>
            <w:r>
              <w:rPr>
                <w:rFonts w:ascii="Calibri" w:hAnsi="Calibri"/>
                <w:sz w:val="22"/>
              </w:rPr>
              <w:t>&gt;$4.9B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 above floor</w:t>
            </w:r>
          </w:p>
        </w:tc>
      </w:tr>
      <w:tr>
        <w:tc>
          <w:tcPr>
            <w:tcW w:type="dxa" w:w="1080"/>
          </w:tcPr>
          <w:p>
            <w:r>
              <w:rPr>
                <w:rFonts w:ascii="Calibri" w:hAnsi="Calibri"/>
                <w:sz w:val="22"/>
              </w:rPr>
              <w:t>Revenue — FY 2026</w:t>
            </w:r>
          </w:p>
        </w:tc>
        <w:tc>
          <w:tcPr>
            <w:tcW w:type="dxa" w:w="1080"/>
          </w:tcPr>
          <w:p>
            <w:r>
              <w:rPr>
                <w:rFonts w:ascii="Calibri" w:hAnsi="Calibri"/>
                <w:sz w:val="22"/>
              </w:rPr>
              <w:t>$19.444B ¹</w:t>
            </w:r>
          </w:p>
        </w:tc>
        <w:tc>
          <w:tcPr>
            <w:tcW w:type="dxa" w:w="1080"/>
          </w:tcPr>
          <w:p>
            <w:r>
              <w:rPr>
                <w:rFonts w:ascii="Calibri" w:hAnsi="Calibri"/>
                <w:sz w:val="22"/>
              </w:rPr>
              <w:t>$19.475B ¹</w:t>
            </w:r>
          </w:p>
        </w:tc>
        <w:tc>
          <w:tcPr>
            <w:tcW w:type="dxa" w:w="1080"/>
          </w:tcPr>
          <w:p>
            <w:r>
              <w:rPr>
                <w:rFonts w:ascii="Calibri" w:hAnsi="Calibri"/>
                <w:b/>
                <w:color w:val="30A46C"/>
                <w:sz w:val="22"/>
              </w:rPr>
              <w:t>+0.2%</w:t>
            </w:r>
          </w:p>
        </w:tc>
        <w:tc>
          <w:tcPr>
            <w:tcW w:type="dxa" w:w="1080"/>
          </w:tcPr>
          <w:p>
            <w:r>
              <w:rPr>
                <w:rFonts w:ascii="Calibri" w:hAnsi="Calibri"/>
                <w:sz w:val="22"/>
              </w:rPr>
              <w:t>9.5%–12.0% organic CC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midpoint of range</w:t>
            </w:r>
          </w:p>
        </w:tc>
      </w:tr>
      <w:tr>
        <w:tc>
          <w:tcPr>
            <w:tcW w:type="dxa" w:w="1080"/>
          </w:tcPr>
          <w:p>
            <w:r>
              <w:rPr>
                <w:rFonts w:ascii="Calibri" w:hAnsi="Calibri"/>
                <w:sz w:val="22"/>
              </w:rPr>
              <w:t>Operating EPS — Q2 2026</w:t>
            </w:r>
          </w:p>
        </w:tc>
        <w:tc>
          <w:tcPr>
            <w:tcW w:type="dxa" w:w="1080"/>
          </w:tcPr>
          <w:p>
            <w:r>
              <w:rPr>
                <w:rFonts w:ascii="Calibri" w:hAnsi="Calibri"/>
                <w:sz w:val="22"/>
              </w:rPr>
              <w:t>$11.14 ¹</w:t>
            </w:r>
          </w:p>
        </w:tc>
        <w:tc>
          <w:tcPr>
            <w:tcW w:type="dxa" w:w="1080"/>
          </w:tcPr>
          <w:p>
            <w:r>
              <w:rPr>
                <w:rFonts w:ascii="Calibri" w:hAnsi="Calibri"/>
                <w:sz w:val="22"/>
              </w:rPr>
              <w:t>$11.28 ¹</w:t>
            </w:r>
          </w:p>
        </w:tc>
        <w:tc>
          <w:tcPr>
            <w:tcW w:type="dxa" w:w="1080"/>
          </w:tcPr>
          <w:p>
            <w:r>
              <w:rPr>
                <w:rFonts w:ascii="Calibri" w:hAnsi="Calibri"/>
                <w:b/>
                <w:color w:val="30A46C"/>
                <w:sz w:val="22"/>
              </w:rPr>
              <w:t>+1.3%</w:t>
            </w:r>
          </w:p>
        </w:tc>
        <w:tc>
          <w:tcPr>
            <w:tcW w:type="dxa" w:w="1080"/>
          </w:tcPr>
          <w:p>
            <w:r>
              <w:rPr>
                <w:rFonts w:ascii="Calibri" w:hAnsi="Calibri"/>
                <w:sz w:val="22"/>
              </w:rPr>
              <w:t>N/A (quarterly not guided)</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Operating EPS — FY 2026</w:t>
            </w:r>
          </w:p>
        </w:tc>
        <w:tc>
          <w:tcPr>
            <w:tcW w:type="dxa" w:w="1080"/>
          </w:tcPr>
          <w:p>
            <w:r>
              <w:rPr>
                <w:rFonts w:ascii="Calibri" w:hAnsi="Calibri"/>
                <w:sz w:val="22"/>
              </w:rPr>
              <w:t>$45.55 ¹</w:t>
            </w:r>
          </w:p>
        </w:tc>
        <w:tc>
          <w:tcPr>
            <w:tcW w:type="dxa" w:w="1080"/>
          </w:tcPr>
          <w:p>
            <w:r>
              <w:rPr>
                <w:rFonts w:ascii="Calibri" w:hAnsi="Calibri"/>
                <w:sz w:val="22"/>
              </w:rPr>
              <w:t>$45.69 ¹</w:t>
            </w:r>
          </w:p>
        </w:tc>
        <w:tc>
          <w:tcPr>
            <w:tcW w:type="dxa" w:w="1080"/>
          </w:tcPr>
          <w:p>
            <w:r>
              <w:rPr>
                <w:rFonts w:ascii="Calibri" w:hAnsi="Calibri"/>
                <w:b/>
                <w:color w:val="30A46C"/>
                <w:sz w:val="22"/>
              </w:rPr>
              <w:t>+0.3%</w:t>
            </w:r>
          </w:p>
        </w:tc>
        <w:tc>
          <w:tcPr>
            <w:tcW w:type="dxa" w:w="1080"/>
          </w:tcPr>
          <w:p>
            <w:r>
              <w:rPr>
                <w:rFonts w:ascii="Calibri" w:hAnsi="Calibri"/>
                <w:sz w:val="22"/>
              </w:rPr>
              <w:t>$44.25–$46.25 (mid: $45.25)</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+1.0% above midpoint</w:t>
            </w:r>
          </w:p>
        </w:tc>
      </w:tr>
      <w:tr>
        <w:tc>
          <w:tcPr>
            <w:tcW w:type="dxa" w:w="1080"/>
          </w:tcPr>
          <w:p>
            <w:r>
              <w:rPr>
                <w:rFonts w:ascii="Calibri" w:hAnsi="Calibri"/>
                <w:sz w:val="22"/>
              </w:rPr>
              <w:t>Operating Margin — Q2 2026</w:t>
            </w:r>
          </w:p>
        </w:tc>
        <w:tc>
          <w:tcPr>
            <w:tcW w:type="dxa" w:w="1080"/>
          </w:tcPr>
          <w:p>
            <w:r>
              <w:rPr>
                <w:rFonts w:ascii="Calibri" w:hAnsi="Calibri"/>
                <w:sz w:val="22"/>
              </w:rPr>
              <w:t>15.34% ¹</w:t>
            </w:r>
          </w:p>
        </w:tc>
        <w:tc>
          <w:tcPr>
            <w:tcW w:type="dxa" w:w="1080"/>
          </w:tcPr>
          <w:p>
            <w:r>
              <w:rPr>
                <w:rFonts w:ascii="Calibri" w:hAnsi="Calibri"/>
                <w:sz w:val="22"/>
              </w:rPr>
              <w:t>15.47% ¹</w:t>
            </w:r>
          </w:p>
        </w:tc>
        <w:tc>
          <w:tcPr>
            <w:tcW w:type="dxa" w:w="1080"/>
          </w:tcPr>
          <w:p>
            <w:r>
              <w:rPr>
                <w:rFonts w:ascii="Calibri" w:hAnsi="Calibri"/>
                <w:b/>
                <w:color w:val="30A46C"/>
                <w:sz w:val="22"/>
              </w:rPr>
              <w:t>+13bps</w:t>
            </w:r>
          </w:p>
        </w:tc>
        <w:tc>
          <w:tcPr>
            <w:tcW w:type="dxa" w:w="1080"/>
          </w:tcPr>
          <w:p>
            <w:r>
              <w:rPr>
                <w:rFonts w:ascii="Calibri" w:hAnsi="Calibri"/>
                <w:sz w:val="22"/>
              </w:rPr>
              <w:t>"Low 15%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~+50bps above guide</w:t>
            </w:r>
          </w:p>
        </w:tc>
      </w:tr>
      <w:tr>
        <w:tc>
          <w:tcPr>
            <w:tcW w:type="dxa" w:w="1080"/>
          </w:tcPr>
          <w:p>
            <w:r>
              <w:rPr>
                <w:rFonts w:ascii="Calibri" w:hAnsi="Calibri"/>
                <w:sz w:val="22"/>
              </w:rPr>
              <w:t>Operating Margin — FY 2026</w:t>
            </w:r>
          </w:p>
        </w:tc>
        <w:tc>
          <w:tcPr>
            <w:tcW w:type="dxa" w:w="1080"/>
          </w:tcPr>
          <w:p>
            <w:r>
              <w:rPr>
                <w:rFonts w:ascii="Calibri" w:hAnsi="Calibri"/>
                <w:sz w:val="22"/>
              </w:rPr>
              <w:t>15.92% ¹</w:t>
            </w:r>
          </w:p>
        </w:tc>
        <w:tc>
          <w:tcPr>
            <w:tcW w:type="dxa" w:w="1080"/>
          </w:tcPr>
          <w:p>
            <w:r>
              <w:rPr>
                <w:rFonts w:ascii="Calibri" w:hAnsi="Calibri"/>
                <w:sz w:val="22"/>
              </w:rPr>
              <w:t>15.94% ¹</w:t>
            </w:r>
          </w:p>
        </w:tc>
        <w:tc>
          <w:tcPr>
            <w:tcW w:type="dxa" w:w="1080"/>
          </w:tcPr>
          <w:p>
            <w:r>
              <w:rPr>
                <w:rFonts w:ascii="Calibri" w:hAnsi="Calibri"/>
                <w:sz w:val="22"/>
              </w:rPr>
              <w:t>+2bps</w:t>
            </w:r>
          </w:p>
        </w:tc>
        <w:tc>
          <w:tcPr>
            <w:tcW w:type="dxa" w:w="1080"/>
          </w:tcPr>
          <w:p>
            <w:r>
              <w:rPr>
                <w:rFonts w:ascii="Calibri" w:hAnsi="Calibri"/>
                <w:sz w:val="22"/>
              </w:rPr>
              <w:t>Ticked up slightly at midpoint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guide</w:t>
            </w:r>
          </w:p>
        </w:tc>
      </w:tr>
    </w:tbl>
    <w:p>
      <w:r>
        <w:rPr>
          <w:rFonts w:ascii="Calibri" w:hAnsi="Calibri"/>
          <w:i/>
          <w:color w:val="525866"/>
          <w:sz w:val="22"/>
        </w:rPr>
        <w:t xml:space="preserve">¹ Source: Visible Alpha Consensus and Actuals Data. </w:t>
      </w:r>
      <w:r>
        <w:rPr>
          <w:rFonts w:ascii="Calibri" w:hAnsi="Calibri"/>
          <w:color w:val="525866"/>
          <w:sz w:val="22"/>
        </w:rPr>
        <w:t>Estimate revisions since the Q1 print have been uniformly positive but modest, with the largest move in Q2 EPS (+1.3%), suggesting the street is incrementally more confident in the near-term earnings power but is not aggressively front-running the back-half recovery thesis.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GWW has </w:t>
      </w:r>
      <w:r>
        <w:rPr>
          <w:rFonts w:ascii="Calibri" w:hAnsi="Calibri"/>
          <w:b/>
          <w:color w:val="525866"/>
          <w:sz w:val="22"/>
        </w:rPr>
        <w:t>outperformed XLI by ~580bps since the Q1 2026 earnings print</w:t>
      </w:r>
      <w:r>
        <w:rPr>
          <w:rFonts w:ascii="Calibri" w:hAnsi="Calibri"/>
          <w:color w:val="525866"/>
          <w:sz w:val="22"/>
        </w:rPr>
        <w:t xml:space="preserve"> (+11.1% vs. +5.3%), driven primarily by the Q1 beat-and-raise and improving MRO market sentiment; the </w:t>
      </w:r>
      <w:r>
        <w:rPr>
          <w:rFonts w:ascii="Calibri" w:hAnsi="Calibri"/>
          <w:b/>
          <w:color w:val="525866"/>
          <w:sz w:val="22"/>
        </w:rPr>
        <w:t>CFO resignation disclosed August 3</w:t>
      </w:r>
      <w:r>
        <w:rPr>
          <w:rFonts w:ascii="Calibri" w:hAnsi="Calibri"/>
          <w:color w:val="525866"/>
          <w:sz w:val="22"/>
        </w:rPr>
        <w:t xml:space="preserve"> introduces a new overhang heading into the Q2 print, and the stock's premium valuation (mid-to-high 20s forward P/E) leaves limited room for margin disappointment.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GWW vs. XLI (iShares U.S. Industrials ETF) — Indexed to 100 at Q1 2026 Earnings (May 7, 2026). GWW: +11.1%; XLI: +5.3% through August 4, 2026. Source: Stock Price Data.</w:t>
      </w:r>
    </w:p>
    <w:p>
      <w:r>
        <w:rPr>
          <w:rFonts w:ascii="Calibri" w:hAnsi="Calibri"/>
          <w:color w:val="525866"/>
          <w:sz w:val="22"/>
        </w:rPr>
        <w:t xml:space="preserve">GWW opened the post-earnings period at $1,234 on May 7, 2026 and reached a high of ~$1,403 on July 16 before pulling back to $1,371 as of August 4. The stock's outperformance vs. XLI reflects the Q1 beat-and-raise, improving MRO market volume growth (turning positive for the first time in years), and broad-based end-market acceleration. The </w:t>
      </w:r>
      <w:r>
        <w:rPr>
          <w:rFonts w:ascii="Calibri" w:hAnsi="Calibri"/>
          <w:b/>
          <w:color w:val="525866"/>
          <w:sz w:val="22"/>
        </w:rPr>
        <w:t>CFO resignation (Deidra Merriwether, effective September 4)</w:t>
      </w:r>
      <w:r>
        <w:rPr>
          <w:rFonts w:ascii="Calibri" w:hAnsi="Calibri"/>
          <w:color w:val="525866"/>
          <w:sz w:val="22"/>
        </w:rPr>
        <w:t xml:space="preserve"> was disclosed via 8-K on August 3 and may weigh on sentiment near-term, though the company noted no disagreement with operations or financials. VP/Controller Laurie Thomson has been named interim CFO while a permanent search begins. The stock's premium multiple means any margin miss on Q2 could trigger a disproportionate reaction, while a beat-and-hold on guidance would likely sustain the outperformance trend.</w:t>
      </w:r>
    </w:p>
    <w:p>
      <w:pPr>
        <w:pStyle w:val="Heading2"/>
      </w:pPr>
      <w:r>
        <w:rPr>
          <w:rFonts w:ascii="Calibri" w:hAnsi="Calibri"/>
          <w:b/>
          <w:color w:val="3B4259"/>
          <w:sz w:val="28"/>
        </w:rPr>
        <w:t>6. Peer Commentaries — Read-Through for Q2 2026</w:t>
      </w:r>
    </w:p>
    <w:p>
      <w:r>
        <w:rPr>
          <w:rFonts w:ascii="Calibri" w:hAnsi="Calibri"/>
          <w:b/>
          <w:color w:val="525866"/>
          <w:sz w:val="22"/>
        </w:rPr>
        <w:t xml:space="preserve">Key Takeaway: </w:t>
      </w:r>
      <w:r>
        <w:rPr>
          <w:rFonts w:ascii="Calibri" w:hAnsi="Calibri"/>
          <w:color w:val="525866"/>
          <w:sz w:val="22"/>
        </w:rPr>
        <w:t xml:space="preserve">Peer commentary from Q2 2026 earnings (FAST, WCC) and MSM's fiscal Q3 2026 (calendar Q2) is </w:t>
      </w:r>
      <w:r>
        <w:rPr>
          <w:rFonts w:ascii="Calibri" w:hAnsi="Calibri"/>
          <w:b/>
          <w:color w:val="525866"/>
          <w:sz w:val="22"/>
        </w:rPr>
        <w:t>broadly constructive for GWW's Q2 print</w:t>
      </w:r>
      <w:r>
        <w:rPr>
          <w:rFonts w:ascii="Calibri" w:hAnsi="Calibri"/>
          <w:color w:val="525866"/>
          <w:sz w:val="22"/>
        </w:rPr>
        <w:t xml:space="preserve"> — all three peers confirm an improving industrial/MRO demand environment, positive pricing dynamics, and volume recovery, which supports GWW's revenue guide; the key read-through risk is </w:t>
      </w:r>
      <w:r>
        <w:rPr>
          <w:rFonts w:ascii="Calibri" w:hAnsi="Calibri"/>
          <w:b/>
          <w:color w:val="525866"/>
          <w:sz w:val="22"/>
        </w:rPr>
        <w:t>margin pressure from fuel and input costs</w:t>
      </w:r>
      <w:r>
        <w:rPr>
          <w:rFonts w:ascii="Calibri" w:hAnsi="Calibri"/>
          <w:color w:val="525866"/>
          <w:sz w:val="22"/>
        </w:rPr>
        <w:t>, which multiple peers also flagged.</w:t>
      </w:r>
    </w:p>
    <w:p>
      <w:r>
        <w:rPr>
          <w:rFonts w:ascii="Calibri" w:hAnsi="Calibri"/>
          <w:i/>
          <w:color w:val="525866"/>
          <w:sz w:val="22"/>
        </w:rPr>
        <w:t xml:space="preserve">Note: </w:t>
      </w:r>
      <w:r>
        <w:rPr>
          <w:rFonts w:ascii="Calibri" w:hAnsi="Calibri"/>
          <w:i/>
          <w:color w:val="525866"/>
          <w:sz w:val="22"/>
        </w:rPr>
        <w:t>Only commentary from peers reporting on or after May 7, 2026 (GWW's Q1 2026 earnings date) about the current reporting period (calendar Q2 2026 / their current quarter) is included below. Prior-quarter results commentary is excluded.</w:t>
      </w:r>
    </w:p>
    <w:p>
      <w:pPr>
        <w:pStyle w:val="Heading3"/>
      </w:pPr>
      <w:r>
        <w:rPr>
          <w:rFonts w:ascii="Calibri" w:hAnsi="Calibri"/>
          <w:b/>
          <w:color w:val="3B4259"/>
          <w:sz w:val="24"/>
        </w:rPr>
        <w:t>Fastenal (FAST) — Q2 2026 Earnings Call (July 14, 2026)</w:t>
      </w:r>
    </w:p>
    <w:p>
      <w:r>
        <w:rPr>
          <w:rFonts w:ascii="Calibri" w:hAnsi="Calibri"/>
          <w:b/>
          <w:color w:val="525866"/>
          <w:sz w:val="22"/>
        </w:rPr>
        <w:t xml:space="preserve">Relevance to GWW: </w:t>
      </w:r>
      <w:r>
        <w:rPr>
          <w:rFonts w:ascii="Calibri" w:hAnsi="Calibri"/>
          <w:color w:val="525866"/>
          <w:sz w:val="22"/>
        </w:rPr>
        <w:t>FAST is GWW's closest MRO peer and a leading indicator for industrial distribution demand. FAST's Q2 2026 results are directly comparable to GWW's Q2 2026 reporting period.</w:t>
      </w:r>
    </w:p>
    <w:p>
      <w:pPr>
        <w:pStyle w:val="ListBullet"/>
        <w:ind w:left="360" w:hanging="360"/>
      </w:pPr>
      <w:r>
        <w:rPr>
          <w:rFonts w:ascii="Calibri" w:hAnsi="Calibri"/>
          <w:b/>
          <w:color w:val="525866"/>
          <w:sz w:val="22"/>
        </w:rPr>
        <w:t>Industrial environment "stable and modestly positive":</w:t>
      </w:r>
      <w:r>
        <w:rPr>
          <w:rFonts w:ascii="Calibri" w:hAnsi="Calibri"/>
          <w:b/>
          <w:color w:val="30A46C"/>
          <w:sz w:val="22"/>
        </w:rPr>
        <w:t xml:space="preserve"> U.S. PMI averaged slightly above 53 for Q2 (up from 52 in Q1), with six consecutive months of 50+ PMI and industrial production slightly positive YoY in April/May. </w:t>
      </w:r>
      <w:r>
        <w:rPr>
          <w:rFonts w:ascii="Calibri" w:hAnsi="Calibri"/>
          <w:color w:val="525866"/>
          <w:sz w:val="22"/>
        </w:rPr>
        <w:t>Read-through: Confirms GWW's MRO market volume growth thesis; supports the "0 to 1%" market volume growth assumption embedded in GWW's guidance.</w:t>
      </w:r>
    </w:p>
    <w:p>
      <w:pPr>
        <w:pStyle w:val="ListBullet"/>
        <w:ind w:left="360" w:hanging="360"/>
      </w:pPr>
      <w:r>
        <w:rPr>
          <w:rFonts w:ascii="Calibri" w:hAnsi="Calibri"/>
          <w:b/>
          <w:color w:val="525866"/>
          <w:sz w:val="22"/>
        </w:rPr>
        <w:t>Daily sales growth of +14.7% in Q2</w:t>
      </w:r>
      <w:r>
        <w:rPr>
          <w:rFonts w:ascii="Calibri" w:hAnsi="Calibri"/>
          <w:b/>
          <w:color w:val="30A46C"/>
          <w:sz w:val="22"/>
        </w:rPr>
        <w:t xml:space="preserve"> (up from +12.4% in Q1), driven by share gains rather than market tailwind. Both direct and indirect categories grew mid-teens. </w:t>
      </w:r>
      <w:r>
        <w:rPr>
          <w:rFonts w:ascii="Calibri" w:hAnsi="Calibri"/>
          <w:color w:val="525866"/>
          <w:sz w:val="22"/>
        </w:rPr>
        <w:t>Read-through: Positive for GWW's organic growth trajectory; FAST's outperformance is share-gain driven, suggesting the underlying market is not as hot as headline numbers imply, but demand is real.</w:t>
      </w:r>
    </w:p>
    <w:p>
      <w:pPr>
        <w:pStyle w:val="ListBullet"/>
        <w:ind w:left="360" w:hanging="360"/>
      </w:pPr>
      <w:r>
        <w:rPr>
          <w:rFonts w:ascii="Calibri" w:hAnsi="Calibri"/>
          <w:b/>
          <w:color w:val="525866"/>
          <w:sz w:val="22"/>
        </w:rPr>
        <w:t>Pricing realized ~2.9% in Q2</w:t>
      </w:r>
      <w:r>
        <w:rPr>
          <w:rFonts w:ascii="Calibri" w:hAnsi="Calibri"/>
          <w:b/>
          <w:color w:val="E5484D"/>
          <w:sz w:val="22"/>
        </w:rPr>
        <w:t xml:space="preserve"> (stacked ~4.5%), with sequential step-down from Q1's ~3.5% due to lapping prior-year tariff actions — not a change in posture. Price/cost still a ~40bps headwind. </w:t>
      </w:r>
      <w:r>
        <w:rPr>
          <w:rFonts w:ascii="Calibri" w:hAnsi="Calibri"/>
          <w:color w:val="525866"/>
          <w:sz w:val="22"/>
        </w:rPr>
        <w:t>Read-through: GWW guided to ~4% price for FY vs. ~5% in Q1; FAST's experience confirms pricing is moderating as tariff lapping begins, consistent with GWW's guidance.</w:t>
      </w:r>
    </w:p>
    <w:p>
      <w:pPr>
        <w:pStyle w:val="ListBullet"/>
        <w:ind w:left="360" w:hanging="360"/>
      </w:pPr>
      <w:r>
        <w:rPr>
          <w:rFonts w:ascii="Calibri" w:hAnsi="Calibri"/>
          <w:b/>
          <w:color w:val="525866"/>
          <w:sz w:val="22"/>
        </w:rPr>
        <w:t>Gross margin contracted ~75bps YoY</w:t>
      </w:r>
      <w:r>
        <w:rPr>
          <w:rFonts w:ascii="Calibri" w:hAnsi="Calibri"/>
          <w:b/>
          <w:color w:val="E5484D"/>
          <w:sz w:val="22"/>
        </w:rPr>
        <w:t xml:space="preserve"> (price/cost ~40bps headwind, customer mix and transportation costs additional drag); operating margin maintained with +5bps improvement via SG&amp;A leverage. </w:t>
      </w:r>
      <w:r>
        <w:rPr>
          <w:rFonts w:ascii="Calibri" w:hAnsi="Calibri"/>
          <w:color w:val="525866"/>
          <w:sz w:val="22"/>
        </w:rPr>
        <w:t>Read-through: Gross margin pressure from price/cost and transportation costs is a sector-wide theme — validates GWW's Q2 margin headwind narrative from fuel costs and FIFO inventory.</w:t>
      </w:r>
    </w:p>
    <w:p>
      <w:pPr>
        <w:pStyle w:val="ListBullet"/>
        <w:ind w:left="360" w:hanging="360"/>
      </w:pPr>
      <w:r>
        <w:rPr>
          <w:rFonts w:ascii="Calibri" w:hAnsi="Calibri"/>
          <w:b/>
          <w:color w:val="525866"/>
          <w:sz w:val="22"/>
        </w:rPr>
        <w:t>Manufacturing activity solid, construction +17% for second consecutive quarter</w:t>
      </w:r>
      <w:r>
        <w:rPr>
          <w:rFonts w:ascii="Calibri" w:hAnsi="Calibri"/>
          <w:b/>
          <w:color w:val="30A46C"/>
          <w:sz w:val="22"/>
        </w:rPr>
        <w:t xml:space="preserve">; heavy manufacturing (44% of sales) grew 18%; electrical utility infrastructure and data center activity among strongest demand areas. </w:t>
      </w:r>
      <w:r>
        <w:rPr>
          <w:rFonts w:ascii="Calibri" w:hAnsi="Calibri"/>
          <w:color w:val="525866"/>
          <w:sz w:val="22"/>
        </w:rPr>
        <w:t>Read-through: Broad-based end-market strength is consistent with GWW's Q1 commentary about manufacturing, government, and contractor acceleration continuing into Q2.</w:t>
      </w:r>
    </w:p>
    <w:p>
      <w:pPr>
        <w:pStyle w:val="ListBullet"/>
        <w:ind w:left="360" w:hanging="360"/>
      </w:pPr>
      <w:r>
        <w:rPr>
          <w:rFonts w:ascii="Calibri" w:hAnsi="Calibri"/>
          <w:b/>
          <w:color w:val="525866"/>
          <w:sz w:val="22"/>
        </w:rPr>
        <w:t>No Q3 guidance provided</w:t>
      </w:r>
      <w:r>
        <w:rPr>
          <w:rFonts w:ascii="Calibri" w:hAnsi="Calibri"/>
          <w:color w:val="525866"/>
          <w:sz w:val="22"/>
        </w:rPr>
        <w:t>; gross margin expected to decline 10–20bps sequentially in Q3 (normal seasonal pattern); incremental margins expected to improve from Q2's 21.5% but not jump to mid-20s immediately.</w:t>
      </w:r>
    </w:p>
    <w:p>
      <w:pPr>
        <w:pStyle w:val="Heading3"/>
      </w:pPr>
      <w:r>
        <w:rPr>
          <w:rFonts w:ascii="Calibri" w:hAnsi="Calibri"/>
          <w:b/>
          <w:color w:val="3B4259"/>
          <w:sz w:val="24"/>
        </w:rPr>
        <w:t>MSC Industrial Supply (MSM) — Fiscal Q3 2026 Earnings Call (July 1, 2026)</w:t>
      </w:r>
    </w:p>
    <w:p>
      <w:r>
        <w:rPr>
          <w:rFonts w:ascii="Calibri" w:hAnsi="Calibri"/>
          <w:b/>
          <w:color w:val="525866"/>
          <w:sz w:val="22"/>
        </w:rPr>
        <w:t xml:space="preserve">Relevance to GWW: </w:t>
      </w:r>
      <w:r>
        <w:rPr>
          <w:rFonts w:ascii="Calibri" w:hAnsi="Calibri"/>
          <w:color w:val="525866"/>
          <w:sz w:val="22"/>
        </w:rPr>
        <w:t>MSM's fiscal Q3 2026 ends in late May/early June, overlapping with GWW's Q2 2026 calendar quarter. MSM is a direct MRO competitor focused on metalworking and industrial supplies.</w:t>
      </w:r>
    </w:p>
    <w:p>
      <w:pPr>
        <w:pStyle w:val="ListBullet"/>
        <w:ind w:left="360" w:hanging="360"/>
      </w:pPr>
      <w:r>
        <w:rPr>
          <w:rFonts w:ascii="Calibri" w:hAnsi="Calibri"/>
          <w:b/>
          <w:color w:val="525866"/>
          <w:sz w:val="22"/>
        </w:rPr>
        <w:t>"Further signs of an industrial recovery taking shape":</w:t>
      </w:r>
      <w:r>
        <w:rPr>
          <w:rFonts w:ascii="Calibri" w:hAnsi="Calibri"/>
          <w:b/>
          <w:color w:val="30A46C"/>
          <w:sz w:val="22"/>
        </w:rPr>
        <w:t xml:space="preserve"> Positive IP readings across most top manufacturing end markets; five consecutive months of MBI readings above 50. CEO described the company as in the "third inning" of industrial recovery. </w:t>
      </w:r>
      <w:r>
        <w:rPr>
          <w:rFonts w:ascii="Calibri" w:hAnsi="Calibri"/>
          <w:color w:val="525866"/>
          <w:sz w:val="22"/>
        </w:rPr>
        <w:t>Read-through: Strongly positive for GWW's Q2 volume growth narrative; confirms the MRO market inflection GWW flagged in Q1 is real and sustained.</w:t>
      </w:r>
    </w:p>
    <w:p>
      <w:pPr>
        <w:pStyle w:val="ListBullet"/>
        <w:ind w:left="360" w:hanging="360"/>
      </w:pPr>
      <w:r>
        <w:rPr>
          <w:rFonts w:ascii="Calibri" w:hAnsi="Calibri"/>
          <w:b/>
          <w:color w:val="525866"/>
          <w:sz w:val="22"/>
        </w:rPr>
        <w:t>Average daily sales outpaced IIP index for fourth consecutive quarter</w:t>
      </w:r>
      <w:r>
        <w:rPr>
          <w:rFonts w:ascii="Calibri" w:hAnsi="Calibri"/>
          <w:b/>
          <w:color w:val="30A46C"/>
          <w:sz w:val="22"/>
        </w:rPr>
        <w:t xml:space="preserve">, above the 400bps outperformance target, though "still primarily price driven." Volume contributed 50bps sequentially in Q3. </w:t>
      </w:r>
      <w:r>
        <w:rPr>
          <w:rFonts w:ascii="Calibri" w:hAnsi="Calibri"/>
          <w:color w:val="525866"/>
          <w:sz w:val="22"/>
        </w:rPr>
        <w:t>Read-through: Volume recovery is nascent but real; consistent with GWW's "0 to 1%" market volume growth assumption.</w:t>
      </w:r>
    </w:p>
    <w:p>
      <w:pPr>
        <w:pStyle w:val="ListBullet"/>
        <w:ind w:left="360" w:hanging="360"/>
      </w:pPr>
      <w:r>
        <w:rPr>
          <w:rFonts w:ascii="Calibri" w:hAnsi="Calibri"/>
          <w:b/>
          <w:color w:val="525866"/>
          <w:sz w:val="22"/>
        </w:rPr>
        <w:t>Price was the "primary driver" of improvement, contributing 720bps to growth</w:t>
      </w:r>
      <w:r>
        <w:rPr>
          <w:rFonts w:ascii="Calibri" w:hAnsi="Calibri"/>
          <w:b/>
          <w:color w:val="E5484D"/>
          <w:sz w:val="22"/>
        </w:rPr>
        <w:t xml:space="preserve">; Q4 price expected in the "6.5–7% range." Tungsten up over 500% — largest driver of inflation; no slowdown in price increases observed. </w:t>
      </w:r>
      <w:r>
        <w:rPr>
          <w:rFonts w:ascii="Calibri" w:hAnsi="Calibri"/>
          <w:color w:val="525866"/>
          <w:sz w:val="22"/>
        </w:rPr>
        <w:t>Read-through: Metalworking-specific inflation (tungsten/carbide) is more acute for MSM than GWW, but confirms the broader industrial pricing environment remains elevated, supporting GWW's ~4% price assumption for FY.</w:t>
      </w:r>
    </w:p>
    <w:p>
      <w:pPr>
        <w:pStyle w:val="ListBullet"/>
        <w:ind w:left="360" w:hanging="360"/>
      </w:pPr>
      <w:r>
        <w:rPr>
          <w:rFonts w:ascii="Calibri" w:hAnsi="Calibri"/>
          <w:b/>
          <w:color w:val="525866"/>
          <w:sz w:val="22"/>
        </w:rPr>
        <w:t>Summer shutdown patterns changing significantly</w:t>
      </w:r>
      <w:r>
        <w:rPr>
          <w:rFonts w:ascii="Calibri" w:hAnsi="Calibri"/>
          <w:b/>
          <w:color w:val="30A46C"/>
          <w:sz w:val="22"/>
        </w:rPr>
        <w:t xml:space="preserve"> — pre-planned automotive shutdowns being canceled or not announced. Volumes returned to growth across all customer types in April, May, and June. </w:t>
      </w:r>
      <w:r>
        <w:rPr>
          <w:rFonts w:ascii="Calibri" w:hAnsi="Calibri"/>
          <w:color w:val="525866"/>
          <w:sz w:val="22"/>
        </w:rPr>
        <w:t>Read-through: Automotive end market turning positive is a meaningful incremental positive for GWW's manufacturing customer base.</w:t>
      </w:r>
    </w:p>
    <w:p>
      <w:pPr>
        <w:pStyle w:val="ListBullet"/>
        <w:ind w:left="360" w:hanging="360"/>
      </w:pPr>
      <w:r>
        <w:rPr>
          <w:rFonts w:ascii="Calibri" w:hAnsi="Calibri"/>
          <w:b/>
          <w:color w:val="525866"/>
          <w:sz w:val="22"/>
        </w:rPr>
        <w:t>Gross margin 41.1%, +10bps YoY</w:t>
      </w:r>
      <w:r>
        <w:rPr>
          <w:rFonts w:ascii="Calibri" w:hAnsi="Calibri"/>
          <w:b/>
          <w:color w:val="30A46C"/>
          <w:sz w:val="22"/>
        </w:rPr>
        <w:t xml:space="preserve">; adjusted operating margin 10.6%, exceeding expectations with 32% incremental operating margin. Price/cost positive contributed 20–30bps to margin. </w:t>
      </w:r>
      <w:r>
        <w:rPr>
          <w:rFonts w:ascii="Calibri" w:hAnsi="Calibri"/>
          <w:color w:val="525866"/>
          <w:sz w:val="22"/>
        </w:rPr>
        <w:t>Read-through: MSM's margin improvement from price/cost turning positive is a positive read-through for GWW's back-half margin recovery thesis, though GWW's Q2 is still expected to be the trough.</w:t>
      </w:r>
    </w:p>
    <w:p>
      <w:pPr>
        <w:pStyle w:val="ListBullet"/>
        <w:ind w:left="360" w:hanging="360"/>
      </w:pPr>
      <w:r>
        <w:rPr>
          <w:rFonts w:ascii="Calibri" w:hAnsi="Calibri"/>
          <w:b/>
          <w:color w:val="525866"/>
          <w:sz w:val="22"/>
        </w:rPr>
        <w:t>Public sector daily sales improved ~8%</w:t>
      </w:r>
      <w:r>
        <w:rPr>
          <w:rFonts w:ascii="Calibri" w:hAnsi="Calibri"/>
          <w:b/>
          <w:color w:val="30A46C"/>
          <w:sz w:val="22"/>
        </w:rPr>
        <w:t xml:space="preserve">, primarily driven by increased defense activity. </w:t>
      </w:r>
      <w:r>
        <w:rPr>
          <w:rFonts w:ascii="Calibri" w:hAnsi="Calibri"/>
          <w:color w:val="525866"/>
          <w:sz w:val="22"/>
        </w:rPr>
        <w:t>Read-through: Government end market strength is consistent with GWW's Q1 commentary about government customers contributing to broad-based acceleration.</w:t>
      </w:r>
    </w:p>
    <w:p>
      <w:pPr>
        <w:pStyle w:val="Heading3"/>
      </w:pPr>
      <w:r>
        <w:rPr>
          <w:rFonts w:ascii="Calibri" w:hAnsi="Calibri"/>
          <w:b/>
          <w:color w:val="3B4259"/>
          <w:sz w:val="24"/>
        </w:rPr>
        <w:t>WESCO International (WCC) — Q2 2026 Earnings Call (July 30, 2026)</w:t>
      </w:r>
    </w:p>
    <w:p>
      <w:r>
        <w:rPr>
          <w:rFonts w:ascii="Calibri" w:hAnsi="Calibri"/>
          <w:b/>
          <w:color w:val="525866"/>
          <w:sz w:val="22"/>
        </w:rPr>
        <w:t xml:space="preserve">Relevance to GWW: </w:t>
      </w:r>
      <w:r>
        <w:rPr>
          <w:rFonts w:ascii="Calibri" w:hAnsi="Calibri"/>
          <w:color w:val="525866"/>
          <w:sz w:val="22"/>
        </w:rPr>
        <w:t>WCC is an electrical/industrial distributor with significant MRO and OEM exposure. WCC's Q2 2026 results are directly comparable to GWW's Q2 2026 reporting period. WCC's end markets (industrial, construction, utility) overlap meaningfully with GWW's customer base.</w:t>
      </w:r>
    </w:p>
    <w:p>
      <w:pPr>
        <w:pStyle w:val="ListBullet"/>
        <w:ind w:left="360" w:hanging="360"/>
      </w:pPr>
      <w:r>
        <w:rPr>
          <w:rFonts w:ascii="Calibri" w:hAnsi="Calibri"/>
          <w:b/>
          <w:color w:val="525866"/>
          <w:sz w:val="22"/>
        </w:rPr>
        <w:t>Industrial segment grew low single digits in Q2</w:t>
      </w:r>
      <w:r>
        <w:rPr>
          <w:rFonts w:ascii="Calibri" w:hAnsi="Calibri"/>
          <w:b/>
          <w:color w:val="30A46C"/>
          <w:sz w:val="22"/>
        </w:rPr>
        <w:t xml:space="preserve">; OEM segment up strong double digits (&gt;20%), driven by semiconductor, electrification, and data center customers — described as "beginning of a broader industrial super cycle." </w:t>
      </w:r>
      <w:r>
        <w:rPr>
          <w:rFonts w:ascii="Calibri" w:hAnsi="Calibri"/>
          <w:color w:val="525866"/>
          <w:sz w:val="22"/>
        </w:rPr>
        <w:t>Read-through: OEM strength as a leading indicator for broader industrial demand is positive for GWW's manufacturing end market; the "industrial super cycle" narrative supports GWW's volume outgrowth thesis.</w:t>
      </w:r>
    </w:p>
    <w:p>
      <w:pPr>
        <w:pStyle w:val="ListBullet"/>
        <w:ind w:left="360" w:hanging="360"/>
      </w:pPr>
      <w:r>
        <w:rPr>
          <w:rFonts w:ascii="Calibri" w:hAnsi="Calibri"/>
          <w:b/>
          <w:color w:val="525866"/>
          <w:sz w:val="22"/>
        </w:rPr>
        <w:t>Pricing environment "back to business as usual"</w:t>
      </w:r>
      <w:r>
        <w:rPr>
          <w:rFonts w:ascii="Calibri" w:hAnsi="Calibri"/>
          <w:b/>
          <w:color w:val="30A46C"/>
          <w:sz w:val="22"/>
        </w:rPr>
        <w:t xml:space="preserve"> — ~3% price benefit across all SBUs in Q2; supplier partners "very measured" and "testing the markets." No extraordinary pricing activity. </w:t>
      </w:r>
      <w:r>
        <w:rPr>
          <w:rFonts w:ascii="Calibri" w:hAnsi="Calibri"/>
          <w:color w:val="525866"/>
          <w:sz w:val="22"/>
        </w:rPr>
        <w:t>Read-through: Confirms GWW's pricing moderation narrative (~4% FY vs. ~5% Q1); pricing is normalizing but not collapsing.</w:t>
      </w:r>
    </w:p>
    <w:p>
      <w:pPr>
        <w:pStyle w:val="ListBullet"/>
        <w:ind w:left="360" w:hanging="360"/>
      </w:pPr>
      <w:r>
        <w:rPr>
          <w:rFonts w:ascii="Calibri" w:hAnsi="Calibri"/>
          <w:b/>
          <w:color w:val="525866"/>
          <w:sz w:val="22"/>
        </w:rPr>
        <w:t>Gross margins expanded 70bps to 14.5%</w:t>
      </w:r>
      <w:r>
        <w:rPr>
          <w:rFonts w:ascii="Calibri" w:hAnsi="Calibri"/>
          <w:b/>
          <w:color w:val="30A46C"/>
          <w:sz w:val="22"/>
        </w:rPr>
        <w:t xml:space="preserve">; adjusted EBITDA margin expanded 60bps to 7.3%; all three business units significantly improved profitability. </w:t>
      </w:r>
      <w:r>
        <w:rPr>
          <w:rFonts w:ascii="Calibri" w:hAnsi="Calibri"/>
          <w:color w:val="525866"/>
          <w:sz w:val="22"/>
        </w:rPr>
        <w:t>Read-through: Margin expansion across the industrial distribution sector in Q2 is a positive read-through, though WCC's margin profile is structurally different from GWW's; the direction is encouraging for GWW's back-half recovery.</w:t>
      </w:r>
    </w:p>
    <w:p>
      <w:pPr>
        <w:pStyle w:val="ListBullet"/>
        <w:ind w:left="360" w:hanging="360"/>
      </w:pPr>
      <w:r>
        <w:rPr>
          <w:rFonts w:ascii="Calibri" w:hAnsi="Calibri"/>
          <w:b/>
          <w:color w:val="525866"/>
          <w:sz w:val="22"/>
        </w:rPr>
        <w:t>Significantly raised full-year 2026 outlook</w:t>
      </w:r>
      <w:r>
        <w:rPr>
          <w:rFonts w:ascii="Calibri" w:hAnsi="Calibri"/>
          <w:b/>
          <w:color w:val="30A46C"/>
          <w:sz w:val="22"/>
        </w:rPr>
        <w:t xml:space="preserve">: organic sales growth now 9–11% (from 5–8%); adjusted EBITDA margin raised to 6.9–7.1%; EPS raised to $16–17.50. Backlog up 60% YoY, at record levels for three consecutive quarters. </w:t>
      </w:r>
      <w:r>
        <w:rPr>
          <w:rFonts w:ascii="Calibri" w:hAnsi="Calibri"/>
          <w:color w:val="525866"/>
          <w:sz w:val="22"/>
        </w:rPr>
        <w:t>Read-through: WCC's guidance raise is the strongest positive read-through for GWW — broad-based demand acceleration and record backlogs suggest the industrial distribution cycle is in early innings, supporting GWW's raised FY guidance.</w:t>
      </w:r>
    </w:p>
    <w:p>
      <w:pPr>
        <w:pStyle w:val="ListBullet"/>
        <w:ind w:left="360" w:hanging="360"/>
      </w:pPr>
      <w:r>
        <w:rPr>
          <w:rFonts w:ascii="Calibri" w:hAnsi="Calibri"/>
          <w:b/>
          <w:color w:val="525866"/>
          <w:sz w:val="22"/>
        </w:rPr>
        <w:t>"Demand is outstripping supply across the value chain — starts with power followed by labor"</w:t>
      </w:r>
      <w:r>
        <w:rPr>
          <w:rFonts w:ascii="Calibri" w:hAnsi="Calibri"/>
          <w:b/>
          <w:color w:val="30A46C"/>
          <w:sz w:val="22"/>
        </w:rPr>
        <w:t xml:space="preserve">; non-residential construction grew high single digits; data center sales up ~45% YoY. </w:t>
      </w:r>
      <w:r>
        <w:rPr>
          <w:rFonts w:ascii="Calibri" w:hAnsi="Calibri"/>
          <w:color w:val="525866"/>
          <w:sz w:val="22"/>
        </w:rPr>
        <w:t>Read-through: Infrastructure and data center-driven demand is a tailwind for GWW's contractor and manufacturing end markets.</w:t>
      </w:r>
    </w:p>
    <w:p>
      <w:pPr>
        <w:pStyle w:val="ListBullet"/>
        <w:ind w:left="360" w:hanging="360"/>
      </w:pPr>
      <w:r>
        <w:rPr>
          <w:rFonts w:ascii="Calibri" w:hAnsi="Calibri"/>
          <w:b/>
          <w:color w:val="525866"/>
          <w:sz w:val="22"/>
        </w:rPr>
        <w:t>Preliminary July MTD sales up mid-teens %</w:t>
      </w:r>
      <w:r>
        <w:rPr>
          <w:rFonts w:ascii="Calibri" w:hAnsi="Calibri"/>
          <w:b/>
          <w:color w:val="30A46C"/>
          <w:sz w:val="22"/>
        </w:rPr>
        <w:t xml:space="preserve">; Q3 2026 expected to grow low double digits YoY. </w:t>
      </w:r>
      <w:r>
        <w:rPr>
          <w:rFonts w:ascii="Calibri" w:hAnsi="Calibri"/>
          <w:color w:val="525866"/>
          <w:sz w:val="22"/>
        </w:rPr>
        <w:t>Read-through: Momentum continuing into Q3 is positive for GWW's back-half recovery thesis and supports the U-shaped margin trajectory management described.</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FAST (Q2 2026)</w:t>
            </w:r>
          </w:p>
        </w:tc>
        <w:tc>
          <w:tcPr>
            <w:tcW w:type="dxa" w:w="1728"/>
            <w:shd w:val="clear" w:color="auto" w:fill="3B4259"/>
          </w:tcPr>
          <w:p>
            <w:r>
              <w:rPr>
                <w:rFonts w:ascii="Calibri" w:hAnsi="Calibri"/>
                <w:b/>
                <w:color w:val="FFFFFF"/>
                <w:sz w:val="22"/>
              </w:rPr>
              <w:t>MSM (Fiscal Q3 2026)</w:t>
            </w:r>
          </w:p>
        </w:tc>
        <w:tc>
          <w:tcPr>
            <w:tcW w:type="dxa" w:w="1728"/>
            <w:shd w:val="clear" w:color="auto" w:fill="3B4259"/>
          </w:tcPr>
          <w:p>
            <w:r>
              <w:rPr>
                <w:rFonts w:ascii="Calibri" w:hAnsi="Calibri"/>
                <w:b/>
                <w:color w:val="FFFFFF"/>
                <w:sz w:val="22"/>
              </w:rPr>
              <w:t>WCC (Q2 2026)</w:t>
            </w:r>
          </w:p>
        </w:tc>
        <w:tc>
          <w:tcPr>
            <w:tcW w:type="dxa" w:w="1728"/>
            <w:shd w:val="clear" w:color="auto" w:fill="3B4259"/>
          </w:tcPr>
          <w:p>
            <w:r>
              <w:rPr>
                <w:rFonts w:ascii="Calibri" w:hAnsi="Calibri"/>
                <w:b/>
                <w:color w:val="FFFFFF"/>
                <w:sz w:val="22"/>
              </w:rPr>
              <w:t>GWW Implication</w:t>
            </w:r>
          </w:p>
        </w:tc>
      </w:tr>
      <w:tr>
        <w:tc>
          <w:tcPr>
            <w:tcW w:type="dxa" w:w="1728"/>
          </w:tcPr>
          <w:p>
            <w:r>
              <w:rPr>
                <w:rFonts w:ascii="Calibri" w:hAnsi="Calibri"/>
                <w:sz w:val="22"/>
              </w:rPr>
              <w:t>MRO/Industrial Demand</w:t>
            </w:r>
          </w:p>
        </w:tc>
        <w:tc>
          <w:tcPr>
            <w:tcW w:type="dxa" w:w="1728"/>
          </w:tcPr>
          <w:p>
            <w:r>
              <w:rPr>
                <w:rFonts w:ascii="Calibri" w:hAnsi="Calibri"/>
                <w:b/>
                <w:color w:val="30A46C"/>
                <w:sz w:val="22"/>
              </w:rPr>
              <w:t>Stable &amp; modestly positive; PMI &gt;53</w:t>
            </w:r>
          </w:p>
        </w:tc>
        <w:tc>
          <w:tcPr>
            <w:tcW w:type="dxa" w:w="1728"/>
          </w:tcPr>
          <w:p>
            <w:r>
              <w:rPr>
                <w:rFonts w:ascii="Calibri" w:hAnsi="Calibri"/>
                <w:b/>
                <w:color w:val="30A46C"/>
                <w:sz w:val="22"/>
              </w:rPr>
              <w:t>Recovery in "3rd inning"; MBI &gt;50 for 5 months</w:t>
            </w:r>
          </w:p>
        </w:tc>
        <w:tc>
          <w:tcPr>
            <w:tcW w:type="dxa" w:w="1728"/>
          </w:tcPr>
          <w:p>
            <w:r>
              <w:rPr>
                <w:rFonts w:ascii="Calibri" w:hAnsi="Calibri"/>
                <w:b/>
                <w:color w:val="30A46C"/>
                <w:sz w:val="22"/>
              </w:rPr>
              <w:t>Industrial super cycle beginning; OEM &gt;20%</w:t>
            </w:r>
          </w:p>
        </w:tc>
        <w:tc>
          <w:tcPr>
            <w:tcW w:type="dxa" w:w="1728"/>
          </w:tcPr>
          <w:p>
            <w:r>
              <w:rPr>
                <w:rFonts w:ascii="Calibri" w:hAnsi="Calibri"/>
                <w:sz w:val="22"/>
              </w:rPr>
              <w:t>Positive — supports GWW's volume growth guide</w:t>
            </w:r>
          </w:p>
        </w:tc>
      </w:tr>
      <w:tr>
        <w:tc>
          <w:tcPr>
            <w:tcW w:type="dxa" w:w="1728"/>
          </w:tcPr>
          <w:p>
            <w:r>
              <w:rPr>
                <w:rFonts w:ascii="Calibri" w:hAnsi="Calibri"/>
                <w:sz w:val="22"/>
              </w:rPr>
              <w:t>Pricing</w:t>
            </w:r>
          </w:p>
        </w:tc>
        <w:tc>
          <w:tcPr>
            <w:tcW w:type="dxa" w:w="1728"/>
          </w:tcPr>
          <w:p>
            <w:r>
              <w:rPr>
                <w:rFonts w:ascii="Calibri" w:hAnsi="Calibri"/>
                <w:sz w:val="22"/>
              </w:rPr>
              <w:t>~2.9% realized; moderating as tariff lapping begins</w:t>
            </w:r>
          </w:p>
        </w:tc>
        <w:tc>
          <w:tcPr>
            <w:tcW w:type="dxa" w:w="1728"/>
          </w:tcPr>
          <w:p>
            <w:r>
              <w:rPr>
                <w:rFonts w:ascii="Calibri" w:hAnsi="Calibri"/>
                <w:sz w:val="22"/>
              </w:rPr>
              <w:t>720bps price contribution; tungsten inflation acute</w:t>
            </w:r>
          </w:p>
        </w:tc>
        <w:tc>
          <w:tcPr>
            <w:tcW w:type="dxa" w:w="1728"/>
          </w:tcPr>
          <w:p>
            <w:r>
              <w:rPr>
                <w:rFonts w:ascii="Calibri" w:hAnsi="Calibri"/>
                <w:sz w:val="22"/>
              </w:rPr>
              <w:t>~3% price; "back to normal"</w:t>
            </w:r>
          </w:p>
        </w:tc>
        <w:tc>
          <w:tcPr>
            <w:tcW w:type="dxa" w:w="1728"/>
          </w:tcPr>
          <w:p>
            <w:r>
              <w:rPr>
                <w:rFonts w:ascii="Calibri" w:hAnsi="Calibri"/>
                <w:sz w:val="22"/>
              </w:rPr>
              <w:t>Neutral — confirms GWW's ~4% FY price assumption</w:t>
            </w:r>
          </w:p>
        </w:tc>
      </w:tr>
      <w:tr>
        <w:tc>
          <w:tcPr>
            <w:tcW w:type="dxa" w:w="1728"/>
          </w:tcPr>
          <w:p>
            <w:r>
              <w:rPr>
                <w:rFonts w:ascii="Calibri" w:hAnsi="Calibri"/>
                <w:sz w:val="22"/>
              </w:rPr>
              <w:t>Gross Margin</w:t>
            </w:r>
          </w:p>
        </w:tc>
        <w:tc>
          <w:tcPr>
            <w:tcW w:type="dxa" w:w="1728"/>
          </w:tcPr>
          <w:p>
            <w:r>
              <w:rPr>
                <w:rFonts w:ascii="Calibri" w:hAnsi="Calibri"/>
                <w:b/>
                <w:color w:val="E5484D"/>
                <w:sz w:val="22"/>
              </w:rPr>
              <w:t>-75bps YoY; price/cost headwind</w:t>
            </w:r>
          </w:p>
        </w:tc>
        <w:tc>
          <w:tcPr>
            <w:tcW w:type="dxa" w:w="1728"/>
          </w:tcPr>
          <w:p>
            <w:r>
              <w:rPr>
                <w:rFonts w:ascii="Calibri" w:hAnsi="Calibri"/>
                <w:b/>
                <w:color w:val="30A46C"/>
                <w:sz w:val="22"/>
              </w:rPr>
              <w:t>+10bps YoY; price/cost turning positive</w:t>
            </w:r>
          </w:p>
        </w:tc>
        <w:tc>
          <w:tcPr>
            <w:tcW w:type="dxa" w:w="1728"/>
          </w:tcPr>
          <w:p>
            <w:r>
              <w:rPr>
                <w:rFonts w:ascii="Calibri" w:hAnsi="Calibri"/>
                <w:b/>
                <w:color w:val="30A46C"/>
                <w:sz w:val="22"/>
              </w:rPr>
              <w:t>+70bps YoY; record EES margin</w:t>
            </w:r>
          </w:p>
        </w:tc>
        <w:tc>
          <w:tcPr>
            <w:tcW w:type="dxa" w:w="1728"/>
          </w:tcPr>
          <w:p>
            <w:r>
              <w:rPr>
                <w:rFonts w:ascii="Calibri" w:hAnsi="Calibri"/>
                <w:sz w:val="22"/>
              </w:rPr>
              <w:t>Mixed — sector-wide fuel/cost pressure validates GWW's Q2 margin headwind</w:t>
            </w:r>
          </w:p>
        </w:tc>
      </w:tr>
      <w:tr>
        <w:tc>
          <w:tcPr>
            <w:tcW w:type="dxa" w:w="1728"/>
          </w:tcPr>
          <w:p>
            <w:r>
              <w:rPr>
                <w:rFonts w:ascii="Calibri" w:hAnsi="Calibri"/>
                <w:sz w:val="22"/>
              </w:rPr>
              <w:t>Volume Recovery</w:t>
            </w:r>
          </w:p>
        </w:tc>
        <w:tc>
          <w:tcPr>
            <w:tcW w:type="dxa" w:w="1728"/>
          </w:tcPr>
          <w:p>
            <w:r>
              <w:rPr>
                <w:rFonts w:ascii="Calibri" w:hAnsi="Calibri"/>
                <w:b/>
                <w:color w:val="30A46C"/>
                <w:sz w:val="22"/>
              </w:rPr>
              <w:t>Share gains driving growth; market modestly positive</w:t>
            </w:r>
          </w:p>
        </w:tc>
        <w:tc>
          <w:tcPr>
            <w:tcW w:type="dxa" w:w="1728"/>
          </w:tcPr>
          <w:p>
            <w:r>
              <w:rPr>
                <w:rFonts w:ascii="Calibri" w:hAnsi="Calibri"/>
                <w:b/>
                <w:color w:val="30A46C"/>
                <w:sz w:val="22"/>
              </w:rPr>
              <w:t>Volume +50bps sequentially; positive all customer types</w:t>
            </w:r>
          </w:p>
        </w:tc>
        <w:tc>
          <w:tcPr>
            <w:tcW w:type="dxa" w:w="1728"/>
          </w:tcPr>
          <w:p>
            <w:r>
              <w:rPr>
                <w:rFonts w:ascii="Calibri" w:hAnsi="Calibri"/>
                <w:b/>
                <w:color w:val="30A46C"/>
                <w:sz w:val="22"/>
              </w:rPr>
              <w:t>Solid volume across all SBUs</w:t>
            </w:r>
          </w:p>
        </w:tc>
        <w:tc>
          <w:tcPr>
            <w:tcW w:type="dxa" w:w="1728"/>
          </w:tcPr>
          <w:p>
            <w:r>
              <w:rPr>
                <w:rFonts w:ascii="Calibri" w:hAnsi="Calibri"/>
                <w:sz w:val="22"/>
              </w:rPr>
              <w:t>Positive — confirms market volume inflection</w:t>
            </w:r>
          </w:p>
        </w:tc>
      </w:tr>
      <w:tr>
        <w:tc>
          <w:tcPr>
            <w:tcW w:type="dxa" w:w="1728"/>
          </w:tcPr>
          <w:p>
            <w:r>
              <w:rPr>
                <w:rFonts w:ascii="Calibri" w:hAnsi="Calibri"/>
                <w:sz w:val="22"/>
              </w:rPr>
              <w:t>Guidance / Outlook</w:t>
            </w:r>
          </w:p>
        </w:tc>
        <w:tc>
          <w:tcPr>
            <w:tcW w:type="dxa" w:w="1728"/>
          </w:tcPr>
          <w:p>
            <w:r>
              <w:rPr>
                <w:rFonts w:ascii="Calibri" w:hAnsi="Calibri"/>
                <w:sz w:val="22"/>
              </w:rPr>
              <w:t>No explicit Q3 guide; incremental margins improving</w:t>
            </w:r>
          </w:p>
        </w:tc>
        <w:tc>
          <w:tcPr>
            <w:tcW w:type="dxa" w:w="1728"/>
          </w:tcPr>
          <w:p>
            <w:r>
              <w:rPr>
                <w:rFonts w:ascii="Calibri" w:hAnsi="Calibri"/>
                <w:sz w:val="22"/>
              </w:rPr>
              <w:t>Q4 ADS +6.5–8.5%; CapEx reduced; FCF conversion raised</w:t>
            </w:r>
          </w:p>
        </w:tc>
        <w:tc>
          <w:tcPr>
            <w:tcW w:type="dxa" w:w="1728"/>
          </w:tcPr>
          <w:p>
            <w:r>
              <w:rPr>
                <w:rFonts w:ascii="Calibri" w:hAnsi="Calibri"/>
                <w:b/>
                <w:color w:val="30A46C"/>
                <w:sz w:val="22"/>
              </w:rPr>
              <w:t>FY guidance significantly raised; backlog +60% YoY</w:t>
            </w:r>
          </w:p>
        </w:tc>
        <w:tc>
          <w:tcPr>
            <w:tcW w:type="dxa" w:w="1728"/>
          </w:tcPr>
          <w:p>
            <w:r>
              <w:rPr>
                <w:rFonts w:ascii="Calibri" w:hAnsi="Calibri"/>
                <w:sz w:val="22"/>
              </w:rPr>
              <w:t>Positive — WCC's raise is strongest read-through for GWW's back-half recovery</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Q1 print is the </w:t>
      </w:r>
      <w:r>
        <w:rPr>
          <w:rFonts w:ascii="Calibri" w:hAnsi="Calibri"/>
          <w:b/>
          <w:color w:val="525866"/>
          <w:sz w:val="22"/>
        </w:rPr>
        <w:t>CFO resignation disclosed August 3</w:t>
      </w:r>
      <w:r>
        <w:rPr>
          <w:rFonts w:ascii="Calibri" w:hAnsi="Calibri"/>
          <w:color w:val="525866"/>
          <w:sz w:val="22"/>
        </w:rPr>
        <w:t xml:space="preserve"> — a leadership change heading into earnings that introduces uncertainty around financial stewardship and investor communication, even though the company cited no operational disagreements; the broader news flow is otherwise constructive, with tariff clarity improving and MRO demand accelerating.</w:t>
      </w:r>
    </w:p>
    <w:p>
      <w:pPr>
        <w:pStyle w:val="ListBullet"/>
        <w:ind w:left="360" w:hanging="360"/>
      </w:pPr>
      <w:r>
        <w:rPr>
          <w:rFonts w:ascii="Calibri" w:hAnsi="Calibri"/>
          <w:b/>
          <w:color w:val="525866"/>
          <w:sz w:val="22"/>
        </w:rPr>
        <w:t>August 3, 2026 — CFO Deidra Merriwether Resigns (8-K):</w:t>
      </w:r>
      <w:r>
        <w:rPr>
          <w:rFonts w:ascii="Calibri" w:hAnsi="Calibri"/>
          <w:b/>
          <w:color w:val="E5484D"/>
          <w:sz w:val="22"/>
        </w:rPr>
        <w:t xml:space="preserve"> SVP &amp; CFO Merriwether notified the Board of her personal decision to resign effective September 4, 2026, to pursue another opportunity. VP/Controller Laurie Thomson (CPA, with GWW since 2008) appointed interim CFO effective September 5; permanent search initiated immediately. </w:t>
      </w:r>
      <w:r>
        <w:rPr>
          <w:rFonts w:ascii="Calibri" w:hAnsi="Calibri"/>
          <w:color w:val="525866"/>
          <w:sz w:val="22"/>
        </w:rPr>
        <w:t>Implication: Leadership change heading into Q2 earnings creates an overhang; Thomson's internal audit/controller background may limit investor confidence on capital allocation messaging. Watch for management commentary on CFO search timeline on the Q2 call.</w:t>
      </w:r>
    </w:p>
    <w:p>
      <w:pPr>
        <w:pStyle w:val="ListBullet"/>
        <w:ind w:left="360" w:hanging="360"/>
      </w:pPr>
      <w:r>
        <w:rPr>
          <w:rFonts w:ascii="Calibri" w:hAnsi="Calibri"/>
          <w:b/>
          <w:color w:val="525866"/>
          <w:sz w:val="22"/>
        </w:rPr>
        <w:t>May 7, 2026 — Q1 2026 Beat-and-Raise (8-K / Earnings Release):</w:t>
      </w:r>
      <w:r>
        <w:rPr>
          <w:rFonts w:ascii="Calibri" w:hAnsi="Calibri"/>
          <w:b/>
          <w:color w:val="30A46C"/>
          <w:sz w:val="22"/>
        </w:rPr>
        <w:t xml:space="preserve"> GWW reported Q1 revenue of $4.742B (+10.1% reported, +12.2% daily organic CC), operating margin of 16.7% (+110bps YoY), and diluted EPS of $11.65 (+18.2% YoY) — all significantly above consensus. Full-year 2026 guidance raised: daily organic CC growth to 9.5–12.0%, EPS to $44.25–$46.25 ($1.75 raise at midpoint). </w:t>
      </w:r>
      <w:r>
        <w:rPr>
          <w:rFonts w:ascii="Calibri" w:hAnsi="Calibri"/>
          <w:color w:val="525866"/>
          <w:sz w:val="22"/>
        </w:rPr>
        <w:t>Implication: Set a high bar for Q2 on organic growth; the Q2 margin step-down to "low 15%" was explicitly guided and is the key focus for the print.</w:t>
      </w:r>
    </w:p>
    <w:p>
      <w:pPr>
        <w:pStyle w:val="ListBullet"/>
        <w:ind w:left="360" w:hanging="360"/>
      </w:pPr>
      <w:r>
        <w:rPr>
          <w:rFonts w:ascii="Calibri" w:hAnsi="Calibri"/>
          <w:b/>
          <w:color w:val="525866"/>
          <w:sz w:val="22"/>
        </w:rPr>
        <w:t>May 7, 2026 — Preliminary April Sales Disclosed:</w:t>
      </w:r>
      <w:r>
        <w:rPr>
          <w:rFonts w:ascii="Calibri" w:hAnsi="Calibri"/>
          <w:b/>
          <w:color w:val="30A46C"/>
          <w:sz w:val="22"/>
        </w:rPr>
        <w:t xml:space="preserve"> Management disclosed April daily organic CC sales up "north of 13%" on the Q1 earnings call, providing strong early read on Q2 momentum. </w:t>
      </w:r>
      <w:r>
        <w:rPr>
          <w:rFonts w:ascii="Calibri" w:hAnsi="Calibri"/>
          <w:color w:val="525866"/>
          <w:sz w:val="22"/>
        </w:rPr>
        <w:t>Implication: April data significantly above the ~12% Q2 guide implies the quarter started well; the question is whether May/June sustained the pace.</w:t>
      </w:r>
    </w:p>
    <w:p>
      <w:pPr>
        <w:pStyle w:val="ListBullet"/>
        <w:ind w:left="360" w:hanging="360"/>
      </w:pPr>
      <w:r>
        <w:rPr>
          <w:rFonts w:ascii="Calibri" w:hAnsi="Calibri"/>
          <w:b/>
          <w:color w:val="525866"/>
          <w:sz w:val="22"/>
        </w:rPr>
        <w:t>May 2026 — Pricing Actions (Net Neutral):</w:t>
      </w:r>
      <w:r>
        <w:rPr>
          <w:rFonts w:ascii="Calibri" w:hAnsi="Calibri"/>
          <w:b/>
          <w:color w:val="002FA7"/>
          <w:sz w:val="22"/>
        </w:rPr>
        <w:t xml:space="preserve"> May pricing cycle confirmed net neutral in total — modest reductions on directly imported private label products (IEEPA rollback) offset by other adjustments incorporating Section 122 tariff regime. </w:t>
      </w:r>
      <w:r>
        <w:rPr>
          <w:rFonts w:ascii="Calibri" w:hAnsi="Calibri"/>
          <w:color w:val="525866"/>
          <w:sz w:val="22"/>
        </w:rPr>
        <w:t>Implication: Pricing neutrality in May reduces the risk of a negative price/cost surprise in Q2; September cycle is the next opportunity to address any remaining tariff cost recovery.</w:t>
      </w:r>
    </w:p>
    <w:p>
      <w:pPr>
        <w:pStyle w:val="ListBullet"/>
        <w:ind w:left="360" w:hanging="360"/>
      </w:pPr>
      <w:r>
        <w:rPr>
          <w:rFonts w:ascii="Calibri" w:hAnsi="Calibri"/>
          <w:b/>
          <w:color w:val="525866"/>
          <w:sz w:val="22"/>
        </w:rPr>
        <w:t>June 2026 — IEEPA Tariff Supreme Court Ruling:</w:t>
      </w:r>
      <w:r>
        <w:rPr>
          <w:rFonts w:ascii="Calibri" w:hAnsi="Calibri"/>
          <w:b/>
          <w:color w:val="002FA7"/>
          <w:sz w:val="22"/>
        </w:rPr>
        <w:t xml:space="preserve"> Supreme Court ruling on IEEPA tariffs expected to have "only a modest impact" on GWW given minimal tariff rate differential with prevailing Section 122 duties. Section 232 modifications still being assessed but initial analysis suggests "likely minimal" impact. </w:t>
      </w:r>
      <w:r>
        <w:rPr>
          <w:rFonts w:ascii="Calibri" w:hAnsi="Calibri"/>
          <w:color w:val="525866"/>
          <w:sz w:val="22"/>
        </w:rPr>
        <w:t>Implication: Tariff risk is better understood and more contained than feared; IEEPA recovery (where GWW is importer of record) represents a potential upside optionality not in consensus.</w:t>
      </w:r>
    </w:p>
    <w:p>
      <w:pPr>
        <w:pStyle w:val="ListBullet"/>
        <w:ind w:left="360" w:hanging="360"/>
      </w:pPr>
      <w:r>
        <w:rPr>
          <w:rFonts w:ascii="Calibri" w:hAnsi="Calibri"/>
          <w:b/>
          <w:color w:val="525866"/>
          <w:sz w:val="22"/>
        </w:rPr>
        <w:t>Ongoing — Middle East Conflict / Fuel Cost Pressure:</w:t>
      </w:r>
      <w:r>
        <w:rPr>
          <w:rFonts w:ascii="Calibri" w:hAnsi="Calibri"/>
          <w:b/>
          <w:color w:val="E5484D"/>
          <w:sz w:val="22"/>
        </w:rPr>
        <w:t xml:space="preserve"> Diesel prices remain elevated, creating margin leakage on large-customer free-shipping contracts. Supply pressure on nitrile-based gloves and petroleum-based products, particularly affecting MonotaRO in Japan (energy import dependence via Strait of Hormuz). </w:t>
      </w:r>
      <w:r>
        <w:rPr>
          <w:rFonts w:ascii="Calibri" w:hAnsi="Calibri"/>
          <w:color w:val="525866"/>
          <w:sz w:val="22"/>
        </w:rPr>
        <w:t>Implication: This is the primary wildcard for Q2 margin — if fuel costs are at the high end of expectations, operating margin could print at or below the "low 15%" guide; any de-escalation would be a meaningful relief catalyst.</w:t>
      </w:r>
    </w:p>
    <w:p>
      <w:pPr>
        <w:pStyle w:val="ListBullet"/>
        <w:ind w:left="360" w:hanging="360"/>
      </w:pPr>
      <w:r>
        <w:rPr>
          <w:rFonts w:ascii="Calibri" w:hAnsi="Calibri"/>
          <w:b/>
          <w:color w:val="525866"/>
          <w:sz w:val="22"/>
        </w:rPr>
        <w:t>Ongoing — Fifty-Fifth Consecutive Annual Dividend Increase:</w:t>
      </w:r>
      <w:r>
        <w:rPr>
          <w:rFonts w:ascii="Calibri" w:hAnsi="Calibri"/>
          <w:b/>
          <w:color w:val="30A46C"/>
          <w:sz w:val="22"/>
        </w:rPr>
        <w:t xml:space="preserve"> Announced alongside Q1 results, reinforcing capital return commitment and financial strength. </w:t>
      </w:r>
      <w:r>
        <w:rPr>
          <w:rFonts w:ascii="Calibri" w:hAnsi="Calibri"/>
          <w:color w:val="525866"/>
          <w:sz w:val="22"/>
        </w:rPr>
        <w:t>Implication: Signals management confidence in cash generation; no change to capital allocation posture.</w:t>
      </w:r>
    </w:p>
    <w:p>
      <w:pPr>
        <w:pStyle w:val="ListBullet"/>
        <w:ind w:left="360" w:hanging="360"/>
      </w:pPr>
      <w:r>
        <w:rPr>
          <w:rFonts w:ascii="Calibri" w:hAnsi="Calibri"/>
          <w:b/>
          <w:color w:val="525866"/>
          <w:sz w:val="22"/>
        </w:rPr>
        <w:t>Ongoing — UK Market Exit Complete:</w:t>
      </w:r>
      <w:r>
        <w:rPr>
          <w:rFonts w:ascii="Calibri" w:hAnsi="Calibri"/>
          <w:b/>
          <w:color w:val="002FA7"/>
          <w:sz w:val="22"/>
        </w:rPr>
        <w:t xml:space="preserve"> Cromwell divestiture and Zoro UK closure (Q4 2025) created ~210bps and ~110bps headwinds to total company and EA reported revenue, respectively, in Q1 2026. These headwinds normalize through 2026. </w:t>
      </w:r>
      <w:r>
        <w:rPr>
          <w:rFonts w:ascii="Calibri" w:hAnsi="Calibri"/>
          <w:color w:val="525866"/>
          <w:sz w:val="22"/>
        </w:rPr>
        <w:t>Implication: UK exit simplifies the portfolio and improves margin mix; the headwind to reported growth diminishes as comps normalize in H2 2026.</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executives since the Q1 print; the only Form 4 activity consists of </w:t>
      </w:r>
      <w:r>
        <w:rPr>
          <w:rFonts w:ascii="Calibri" w:hAnsi="Calibri"/>
          <w:b/>
          <w:color w:val="525866"/>
          <w:sz w:val="22"/>
        </w:rPr>
        <w:t>routine director deferred stock unit awards and a small number of officer share sales</w:t>
      </w:r>
      <w:r>
        <w:rPr>
          <w:rFonts w:ascii="Calibri" w:hAnsi="Calibri"/>
          <w:color w:val="525866"/>
          <w:sz w:val="22"/>
        </w:rPr>
        <w:t xml:space="preserve"> that appear compensation-related (no 10b5-1 plans flagged) — </w:t>
      </w:r>
      <w:r>
        <w:rPr>
          <w:rFonts w:ascii="Calibri" w:hAnsi="Calibri"/>
          <w:b/>
          <w:color w:val="525866"/>
          <w:sz w:val="22"/>
        </w:rPr>
        <w:t>nothing in the insider activity signals unusual conviction in either direction</w:t>
      </w:r>
      <w:r>
        <w:rPr>
          <w:rFonts w:ascii="Calibri" w:hAnsi="Calibri"/>
          <w:color w:val="525866"/>
          <w:sz w:val="22"/>
        </w:rPr>
        <w:t xml:space="preserve"> heading into Q2 earnings.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Units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LeRoy, Jonny M</w:t>
            </w:r>
          </w:p>
        </w:tc>
        <w:tc>
          <w:tcPr>
            <w:tcW w:type="dxa" w:w="1440"/>
          </w:tcPr>
          <w:p>
            <w:r>
              <w:rPr>
                <w:rFonts w:ascii="Calibri" w:hAnsi="Calibri"/>
                <w:sz w:val="22"/>
              </w:rPr>
              <w:t>SVP, Chief Technology Officer</w:t>
            </w:r>
          </w:p>
        </w:tc>
        <w:tc>
          <w:tcPr>
            <w:tcW w:type="dxa" w:w="1440"/>
          </w:tcPr>
          <w:p>
            <w:r>
              <w:rPr>
                <w:rFonts w:ascii="Calibri" w:hAnsi="Calibri"/>
                <w:sz w:val="22"/>
              </w:rPr>
              <w:t>Open Market Sale</w:t>
            </w:r>
          </w:p>
        </w:tc>
        <w:tc>
          <w:tcPr>
            <w:tcW w:type="dxa" w:w="1440"/>
          </w:tcPr>
          <w:p>
            <w:r>
              <w:rPr>
                <w:rFonts w:ascii="Calibri" w:hAnsi="Calibri"/>
                <w:sz w:val="22"/>
              </w:rPr>
              <w:t>854 shares</w:t>
            </w:r>
          </w:p>
        </w:tc>
        <w:tc>
          <w:tcPr>
            <w:tcW w:type="dxa" w:w="1440"/>
          </w:tcPr>
          <w:p>
            <w:r>
              <w:rPr>
                <w:rFonts w:ascii="Calibri" w:hAnsi="Calibri"/>
                <w:sz w:val="22"/>
              </w:rPr>
              <w:t>May 12, 2026</w:t>
            </w:r>
          </w:p>
        </w:tc>
        <w:tc>
          <w:tcPr>
            <w:tcW w:type="dxa" w:w="1440"/>
          </w:tcPr>
          <w:p>
            <w:r>
              <w:rPr>
                <w:rFonts w:ascii="Calibri" w:hAnsi="Calibri"/>
                <w:sz w:val="22"/>
              </w:rPr>
              <w:t>Discretionary sale; no 10b5-1 plan flagged; modest size relative to holdings</w:t>
            </w:r>
          </w:p>
        </w:tc>
      </w:tr>
      <w:tr>
        <w:tc>
          <w:tcPr>
            <w:tcW w:type="dxa" w:w="1440"/>
          </w:tcPr>
          <w:p>
            <w:r>
              <w:rPr>
                <w:rFonts w:ascii="Calibri" w:hAnsi="Calibri"/>
                <w:sz w:val="22"/>
              </w:rPr>
              <w:t>Robbins, Paige K</w:t>
            </w:r>
          </w:p>
        </w:tc>
        <w:tc>
          <w:tcPr>
            <w:tcW w:type="dxa" w:w="1440"/>
          </w:tcPr>
          <w:p>
            <w:r>
              <w:rPr>
                <w:rFonts w:ascii="Calibri" w:hAnsi="Calibri"/>
                <w:sz w:val="22"/>
              </w:rPr>
              <w:t>Sr. VP</w:t>
            </w:r>
          </w:p>
        </w:tc>
        <w:tc>
          <w:tcPr>
            <w:tcW w:type="dxa" w:w="1440"/>
          </w:tcPr>
          <w:p>
            <w:r>
              <w:rPr>
                <w:rFonts w:ascii="Calibri" w:hAnsi="Calibri"/>
                <w:sz w:val="22"/>
              </w:rPr>
              <w:t>Open Market Sale</w:t>
            </w:r>
          </w:p>
        </w:tc>
        <w:tc>
          <w:tcPr>
            <w:tcW w:type="dxa" w:w="1440"/>
          </w:tcPr>
          <w:p>
            <w:r>
              <w:rPr>
                <w:rFonts w:ascii="Calibri" w:hAnsi="Calibri"/>
                <w:sz w:val="22"/>
              </w:rPr>
              <w:t>1,457 shares</w:t>
            </w:r>
          </w:p>
        </w:tc>
        <w:tc>
          <w:tcPr>
            <w:tcW w:type="dxa" w:w="1440"/>
          </w:tcPr>
          <w:p>
            <w:r>
              <w:rPr>
                <w:rFonts w:ascii="Calibri" w:hAnsi="Calibri"/>
                <w:sz w:val="22"/>
              </w:rPr>
              <w:t>May 12, 2026</w:t>
            </w:r>
          </w:p>
        </w:tc>
        <w:tc>
          <w:tcPr>
            <w:tcW w:type="dxa" w:w="1440"/>
          </w:tcPr>
          <w:p>
            <w:r>
              <w:rPr>
                <w:rFonts w:ascii="Calibri" w:hAnsi="Calibri"/>
                <w:sz w:val="22"/>
              </w:rPr>
              <w:t>Discretionary sale; no 10b5-1 plan flagged; clustered with LeRoy sale on same date</w:t>
            </w:r>
          </w:p>
        </w:tc>
      </w:tr>
      <w:tr>
        <w:tc>
          <w:tcPr>
            <w:tcW w:type="dxa" w:w="1440"/>
          </w:tcPr>
          <w:p>
            <w:r>
              <w:rPr>
                <w:rFonts w:ascii="Calibri" w:hAnsi="Calibri"/>
                <w:sz w:val="22"/>
              </w:rPr>
              <w:t>Thomson, Laurie R</w:t>
            </w:r>
          </w:p>
        </w:tc>
        <w:tc>
          <w:tcPr>
            <w:tcW w:type="dxa" w:w="1440"/>
          </w:tcPr>
          <w:p>
            <w:r>
              <w:rPr>
                <w:rFonts w:ascii="Calibri" w:hAnsi="Calibri"/>
                <w:sz w:val="22"/>
              </w:rPr>
              <w:t>VP, Controller (now Interim CFO)</w:t>
            </w:r>
          </w:p>
        </w:tc>
        <w:tc>
          <w:tcPr>
            <w:tcW w:type="dxa" w:w="1440"/>
          </w:tcPr>
          <w:p>
            <w:r>
              <w:rPr>
                <w:rFonts w:ascii="Calibri" w:hAnsi="Calibri"/>
                <w:sz w:val="22"/>
              </w:rPr>
              <w:t>Open Market Sale</w:t>
            </w:r>
          </w:p>
        </w:tc>
        <w:tc>
          <w:tcPr>
            <w:tcW w:type="dxa" w:w="1440"/>
          </w:tcPr>
          <w:p>
            <w:r>
              <w:rPr>
                <w:rFonts w:ascii="Calibri" w:hAnsi="Calibri"/>
                <w:sz w:val="22"/>
              </w:rPr>
              <w:t>313 shares</w:t>
            </w:r>
          </w:p>
        </w:tc>
        <w:tc>
          <w:tcPr>
            <w:tcW w:type="dxa" w:w="1440"/>
          </w:tcPr>
          <w:p>
            <w:r>
              <w:rPr>
                <w:rFonts w:ascii="Calibri" w:hAnsi="Calibri"/>
                <w:sz w:val="22"/>
              </w:rPr>
              <w:t>May 12, 2026</w:t>
            </w:r>
          </w:p>
        </w:tc>
        <w:tc>
          <w:tcPr>
            <w:tcW w:type="dxa" w:w="1440"/>
          </w:tcPr>
          <w:p>
            <w:r>
              <w:rPr>
                <w:rFonts w:ascii="Calibri" w:hAnsi="Calibri"/>
                <w:sz w:val="22"/>
              </w:rPr>
              <w:t>Discretionary sale; small size; Thomson subsequently appointed Interim CFO on July 31</w:t>
            </w:r>
          </w:p>
        </w:tc>
      </w:tr>
      <w:tr>
        <w:tc>
          <w:tcPr>
            <w:tcW w:type="dxa" w:w="1440"/>
          </w:tcPr>
          <w:p>
            <w:r>
              <w:rPr>
                <w:rFonts w:ascii="Calibri" w:hAnsi="Calibri"/>
                <w:sz w:val="22"/>
              </w:rPr>
              <w:t>Multiple Directors (9 individuals)</w:t>
            </w:r>
          </w:p>
        </w:tc>
        <w:tc>
          <w:tcPr>
            <w:tcW w:type="dxa" w:w="1440"/>
          </w:tcPr>
          <w:p>
            <w:r>
              <w:rPr>
                <w:rFonts w:ascii="Calibri" w:hAnsi="Calibri"/>
                <w:sz w:val="22"/>
              </w:rPr>
              <w:t>Board of Directors</w:t>
            </w:r>
          </w:p>
        </w:tc>
        <w:tc>
          <w:tcPr>
            <w:tcW w:type="dxa" w:w="1440"/>
          </w:tcPr>
          <w:p>
            <w:r>
              <w:rPr>
                <w:rFonts w:ascii="Calibri" w:hAnsi="Calibri"/>
                <w:sz w:val="22"/>
              </w:rPr>
              <w:t>Deferred Stock Unit Award (Routine)</w:t>
            </w:r>
          </w:p>
        </w:tc>
        <w:tc>
          <w:tcPr>
            <w:tcW w:type="dxa" w:w="1440"/>
          </w:tcPr>
          <w:p>
            <w:r>
              <w:rPr>
                <w:rFonts w:ascii="Calibri" w:hAnsi="Calibri"/>
                <w:sz w:val="22"/>
              </w:rPr>
              <w:t>1–67 DSUs each</w:t>
            </w:r>
          </w:p>
        </w:tc>
        <w:tc>
          <w:tcPr>
            <w:tcW w:type="dxa" w:w="1440"/>
          </w:tcPr>
          <w:p>
            <w:r>
              <w:rPr>
                <w:rFonts w:ascii="Calibri" w:hAnsi="Calibri"/>
                <w:sz w:val="22"/>
              </w:rPr>
              <w:t>June 1, 2026</w:t>
            </w:r>
          </w:p>
        </w:tc>
        <w:tc>
          <w:tcPr>
            <w:tcW w:type="dxa" w:w="1440"/>
          </w:tcPr>
          <w:p>
            <w:r>
              <w:rPr>
                <w:rFonts w:ascii="Calibri" w:hAnsi="Calibri"/>
                <w:sz w:val="22"/>
              </w:rPr>
              <w:t>Routine annual director compensation awards; not open-market transactions; no signal value</w:t>
            </w:r>
          </w:p>
        </w:tc>
      </w:tr>
      <w:tr>
        <w:tc>
          <w:tcPr>
            <w:tcW w:type="dxa" w:w="1440"/>
          </w:tcPr>
          <w:p>
            <w:r>
              <w:rPr>
                <w:rFonts w:ascii="Calibri" w:hAnsi="Calibri"/>
                <w:sz w:val="22"/>
              </w:rPr>
              <w:t>Novich, Neil S</w:t>
            </w:r>
          </w:p>
        </w:tc>
        <w:tc>
          <w:tcPr>
            <w:tcW w:type="dxa" w:w="1440"/>
          </w:tcPr>
          <w:p>
            <w:r>
              <w:rPr>
                <w:rFonts w:ascii="Calibri" w:hAnsi="Calibri"/>
                <w:sz w:val="22"/>
              </w:rPr>
              <w:t>Director</w:t>
            </w:r>
          </w:p>
        </w:tc>
        <w:tc>
          <w:tcPr>
            <w:tcW w:type="dxa" w:w="1440"/>
          </w:tcPr>
          <w:p>
            <w:r>
              <w:rPr>
                <w:rFonts w:ascii="Calibri" w:hAnsi="Calibri"/>
                <w:sz w:val="22"/>
              </w:rPr>
              <w:t>DSU Transfer to Family Trust (Routine)</w:t>
            </w:r>
          </w:p>
        </w:tc>
        <w:tc>
          <w:tcPr>
            <w:tcW w:type="dxa" w:w="1440"/>
          </w:tcPr>
          <w:p>
            <w:r>
              <w:rPr>
                <w:rFonts w:ascii="Calibri" w:hAnsi="Calibri"/>
                <w:sz w:val="22"/>
              </w:rPr>
              <w:t>33,644 DSUs</w:t>
            </w:r>
          </w:p>
        </w:tc>
        <w:tc>
          <w:tcPr>
            <w:tcW w:type="dxa" w:w="1440"/>
          </w:tcPr>
          <w:p>
            <w:r>
              <w:rPr>
                <w:rFonts w:ascii="Calibri" w:hAnsi="Calibri"/>
                <w:sz w:val="22"/>
              </w:rPr>
              <w:t>June 5, 2026</w:t>
            </w:r>
          </w:p>
        </w:tc>
        <w:tc>
          <w:tcPr>
            <w:tcW w:type="dxa" w:w="1440"/>
          </w:tcPr>
          <w:p>
            <w:r>
              <w:rPr>
                <w:rFonts w:ascii="Calibri" w:hAnsi="Calibri"/>
                <w:sz w:val="22"/>
              </w:rPr>
              <w:t>Estate planning transfer; not an open-market sale; no signal value</w:t>
            </w:r>
          </w:p>
        </w:tc>
      </w:tr>
    </w:tbl>
    <w:p>
      <w:r>
        <w:rPr>
          <w:rFonts w:ascii="Calibri" w:hAnsi="Calibri"/>
          <w:i/>
          <w:color w:val="525866"/>
          <w:sz w:val="22"/>
        </w:rPr>
        <w:t xml:space="preserve">Source: Insider Transaction Data (SEC Form 4 filings). </w:t>
      </w:r>
      <w:r>
        <w:rPr>
          <w:rFonts w:ascii="Calibri" w:hAnsi="Calibri"/>
          <w:color w:val="525866"/>
          <w:sz w:val="22"/>
        </w:rPr>
        <w:t>The three officer sales on May 12 (the day after the Q1 earnings call) are the only discretionary transactions in the window. The clustering on a single date — five trading days post-earnings — is consistent with a standard post-blackout window opening rather than a directional signal. No open-market buys were filed by any insider since the Q1 print. The absence of executive buying at current levels is neutral, not a red flag, given the stock's premium valuation.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