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W.W. Grainger, Inc. (GWW)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W.W. Grainger, Inc.</w:t>
            </w:r>
          </w:p>
        </w:tc>
      </w:tr>
      <w:tr>
        <w:tc>
          <w:tcPr>
            <w:tcW w:type="dxa" w:w="4320"/>
          </w:tcPr>
          <w:p>
            <w:r>
              <w:rPr>
                <w:rFonts w:ascii="Calibri" w:hAnsi="Calibri"/>
                <w:b/>
                <w:sz w:val="22"/>
              </w:rPr>
              <w:t>Ticker</w:t>
            </w:r>
          </w:p>
        </w:tc>
        <w:tc>
          <w:tcPr>
            <w:tcW w:type="dxa" w:w="4320"/>
          </w:tcPr>
          <w:p>
            <w:r>
              <w:rPr>
                <w:rFonts w:ascii="Calibri" w:hAnsi="Calibri"/>
                <w:sz w:val="22"/>
              </w:rPr>
              <w:t>GWW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Call Date</w:t>
            </w:r>
          </w:p>
        </w:tc>
        <w:tc>
          <w:tcPr>
            <w:tcW w:type="dxa" w:w="4320"/>
          </w:tcPr>
          <w:p>
            <w:r>
              <w:rPr>
                <w:rFonts w:ascii="Calibri" w:hAnsi="Calibri"/>
                <w:sz w:val="22"/>
              </w:rPr>
              <w:t>August 4, 2026 at 11:00 AM ET</w:t>
            </w:r>
          </w:p>
        </w:tc>
      </w:tr>
      <w:tr>
        <w:tc>
          <w:tcPr>
            <w:tcW w:type="dxa" w:w="4320"/>
          </w:tcPr>
          <w:p>
            <w:r>
              <w:rPr>
                <w:rFonts w:ascii="Calibri" w:hAnsi="Calibri"/>
                <w:b/>
                <w:sz w:val="22"/>
              </w:rPr>
              <w:t>Last Earnings Date</w:t>
            </w:r>
          </w:p>
        </w:tc>
        <w:tc>
          <w:tcPr>
            <w:tcW w:type="dxa" w:w="4320"/>
          </w:tcPr>
          <w:p>
            <w:r>
              <w:rPr>
                <w:rFonts w:ascii="Calibri" w:hAnsi="Calibri"/>
                <w:sz w:val="22"/>
              </w:rPr>
              <w:t>May 7, 2026 (Q1 2026)</w:t>
            </w:r>
          </w:p>
        </w:tc>
      </w:tr>
      <w:tr>
        <w:tc>
          <w:tcPr>
            <w:tcW w:type="dxa" w:w="4320"/>
          </w:tcPr>
          <w:p>
            <w:r>
              <w:rPr>
                <w:rFonts w:ascii="Calibri" w:hAnsi="Calibri"/>
                <w:b/>
                <w:sz w:val="22"/>
              </w:rPr>
              <w:t>Prepared</w:t>
            </w:r>
          </w:p>
        </w:tc>
        <w:tc>
          <w:tcPr>
            <w:tcW w:type="dxa" w:w="4320"/>
          </w:tcPr>
          <w:p>
            <w:r>
              <w:rPr>
                <w:rFonts w:ascii="Calibri" w:hAnsi="Calibri"/>
                <w:sz w:val="22"/>
              </w:rPr>
              <w:t>August 4, 2026</w:t>
            </w:r>
          </w:p>
        </w:tc>
      </w:tr>
      <w:tr>
        <w:tc>
          <w:tcPr>
            <w:tcW w:type="dxa" w:w="4320"/>
          </w:tcPr>
          <w:p>
            <w:r>
              <w:rPr>
                <w:rFonts w:ascii="Calibri" w:hAnsi="Calibri"/>
                <w:b/>
                <w:sz w:val="22"/>
              </w:rPr>
              <w:t>Sector ETF (Benchmark)</w:t>
            </w:r>
          </w:p>
        </w:tc>
        <w:tc>
          <w:tcPr>
            <w:tcW w:type="dxa" w:w="4320"/>
          </w:tcPr>
          <w:p>
            <w:r>
              <w:rPr>
                <w:rFonts w:ascii="Calibri" w:hAnsi="Calibri"/>
                <w:sz w:val="22"/>
              </w:rPr>
              <w:t>XLI (Industrial Select Sector SPDR)</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favors a beat — GWW enters Q2 with strong April momentum (preliminary daily organic constant currency growth &gt;13%), a raised full-year guide, and consensus that has only modestly revised upward since the Q1 print, leaving room for another positive surprise; the single biggest swing factor is whether the private-label FIFO cost drag and fuel-cost leakage land at the low or high end of management's guided range.</w:t>
      </w:r>
    </w:p>
    <w:p>
      <w:r>
        <w:rPr>
          <w:rFonts w:ascii="Calibri" w:hAnsi="Calibri"/>
          <w:color w:val="525866"/>
          <w:sz w:val="22"/>
        </w:rPr>
        <w:t xml:space="preserve">Heading into Q2 2026 results, the bar looks beatable but not easy. Management guided Q2 daily organic constant currency growth "approaching 12%" and operating margin "in the low 15% range," with consensus sitting at ~11.8% growth and ~15.4% operating margin — implying the Street is already pricing in a modest beat on the top line while giving management credit for the guided margin step-down. The tone from the May 7 Q1 call was constructive: GWW raised full-year EPS guidance by $1.75 at the midpoint to $44.25–$46.25 (nearly 15% YoY growth), citing broad-based demand acceleration across manufacturing, government, and contractor end markets and the first positive MRO market volume growth in several years. Estimate revisions have tracked guidance directionally — Q2 EPS consensus moved from ~$11.14 (post-Q1 baseline) to ~$11.28 currently — but the trajectory is modest, suggesting the Street is not yet fully pricing in the demand inflection. </w:t>
      </w:r>
    </w:p>
    <w:p>
      <w:r>
        <w:rPr>
          <w:rFonts w:ascii="Calibri" w:hAnsi="Calibri"/>
          <w:color w:val="525866"/>
          <w:sz w:val="22"/>
        </w:rPr>
        <w:t>The stock has re-rated meaningfully since the Q1 print, up ~11.6% from $1,234 to ~$1,371, with NTM P/E expanding from ~24.5x to ~28.5x — a premium of ~27% to the peer group average — meaning the multiple already reflects considerable optimism and limits upside from further re-rating alone. The key wildcard is the magnitude of the private-label FIFO inventory cost drag (guided at ~20 bps gross margin headwind) and fuel-cost leakage on large-customer free-shipping contracts: if these land at the low end, GWW could beat on both revenue and margin; if they compound with any demand softness, the stock's elevated multiple leaves it exposed. An additional unquantified risk is the CFO transition announced July 31 (Merriwether departing September 4; interim CFO Thomson effective September 5), which adds a leadership uncertainty overhang into the back half of the year.</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moderately low bar on revenue (Street at $4.96B vs. management's "north of $4.9B" guide) but a higher bar on operating margin (~15.5% vs. guided "low 15%"), making margin the bigger swing factor; a beat on both would require fuel and private-label headwinds to come in at the low end of the guided range.</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(vs. Q2 2025)</w:t>
            </w:r>
          </w:p>
        </w:tc>
        <w:tc>
          <w:tcPr>
            <w:tcW w:type="dxa" w:w="1234"/>
            <w:shd w:val="clear" w:color="auto" w:fill="3B4259"/>
          </w:tcPr>
          <w:p>
            <w:r>
              <w:rPr>
                <w:rFonts w:ascii="Calibri" w:hAnsi="Calibri"/>
                <w:b/>
                <w:color w:val="FFFFFF"/>
                <w:sz w:val="22"/>
              </w:rPr>
              <w:t>Q2 2026 Guidance (Mgmt)</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Revenue ($B)</w:t>
            </w:r>
          </w:p>
        </w:tc>
        <w:tc>
          <w:tcPr>
            <w:tcW w:type="dxa" w:w="1234"/>
          </w:tcPr>
          <w:p>
            <w:r>
              <w:rPr>
                <w:rFonts w:ascii="Calibri" w:hAnsi="Calibri"/>
                <w:sz w:val="22"/>
              </w:rPr>
              <w:t>$4.742B</w:t>
            </w:r>
          </w:p>
        </w:tc>
        <w:tc>
          <w:tcPr>
            <w:tcW w:type="dxa" w:w="1234"/>
          </w:tcPr>
          <w:p>
            <w:r>
              <w:rPr>
                <w:rFonts w:ascii="Calibri" w:hAnsi="Calibri"/>
                <w:sz w:val="22"/>
              </w:rPr>
              <w:t>$4.554B</w:t>
            </w:r>
          </w:p>
        </w:tc>
        <w:tc>
          <w:tcPr>
            <w:tcW w:type="dxa" w:w="1234"/>
          </w:tcPr>
          <w:p>
            <w:r>
              <w:rPr>
                <w:rFonts w:ascii="Calibri" w:hAnsi="Calibri"/>
                <w:sz w:val="22"/>
              </w:rPr>
              <w:t>$4.959B</w:t>
            </w:r>
          </w:p>
        </w:tc>
        <w:tc>
          <w:tcPr>
            <w:tcW w:type="dxa" w:w="1234"/>
          </w:tcPr>
          <w:p>
            <w:r>
              <w:rPr>
                <w:rFonts w:ascii="Calibri" w:hAnsi="Calibri"/>
                <w:sz w:val="22"/>
              </w:rPr>
              <w:t>+8.9%</w:t>
            </w:r>
          </w:p>
        </w:tc>
        <w:tc>
          <w:tcPr>
            <w:tcW w:type="dxa" w:w="1234"/>
          </w:tcPr>
          <w:p>
            <w:r>
              <w:rPr>
                <w:rFonts w:ascii="Calibri" w:hAnsi="Calibri"/>
                <w:sz w:val="22"/>
              </w:rPr>
              <w:t>&gt;$4.9B</w:t>
            </w:r>
          </w:p>
        </w:tc>
        <w:tc>
          <w:tcPr>
            <w:tcW w:type="dxa" w:w="1234"/>
          </w:tcPr>
          <w:p>
            <w:r>
              <w:rPr>
                <w:rFonts w:ascii="Calibri" w:hAnsi="Calibri"/>
                <w:sz w:val="22"/>
              </w:rPr>
              <w:t>+~1.2% above floor</w:t>
            </w:r>
          </w:p>
        </w:tc>
      </w:tr>
      <w:tr>
        <w:tc>
          <w:tcPr>
            <w:tcW w:type="dxa" w:w="1234"/>
          </w:tcPr>
          <w:p>
            <w:r>
              <w:rPr>
                <w:rFonts w:ascii="Calibri" w:hAnsi="Calibri"/>
                <w:sz w:val="22"/>
              </w:rPr>
              <w:t>Daily Organic CC Growth (%)</w:t>
            </w:r>
          </w:p>
        </w:tc>
        <w:tc>
          <w:tcPr>
            <w:tcW w:type="dxa" w:w="1234"/>
          </w:tcPr>
          <w:p>
            <w:r>
              <w:rPr>
                <w:rFonts w:ascii="Calibri" w:hAnsi="Calibri"/>
                <w:sz w:val="22"/>
              </w:rPr>
              <w:t>+12.2%</w:t>
            </w:r>
          </w:p>
        </w:tc>
        <w:tc>
          <w:tcPr>
            <w:tcW w:type="dxa" w:w="1234"/>
          </w:tcPr>
          <w:p>
            <w:r>
              <w:rPr>
                <w:rFonts w:ascii="Calibri" w:hAnsi="Calibri"/>
                <w:sz w:val="22"/>
              </w:rPr>
              <w:t>+5.1%</w:t>
            </w:r>
          </w:p>
        </w:tc>
        <w:tc>
          <w:tcPr>
            <w:tcW w:type="dxa" w:w="1234"/>
          </w:tcPr>
          <w:p>
            <w:r>
              <w:rPr>
                <w:rFonts w:ascii="Calibri" w:hAnsi="Calibri"/>
                <w:sz w:val="22"/>
              </w:rPr>
              <w:t>+11.8%</w:t>
            </w:r>
          </w:p>
        </w:tc>
        <w:tc>
          <w:tcPr>
            <w:tcW w:type="dxa" w:w="1234"/>
          </w:tcPr>
          <w:p>
            <w:r>
              <w:rPr>
                <w:rFonts w:ascii="Calibri" w:hAnsi="Calibri"/>
                <w:sz w:val="22"/>
              </w:rPr>
              <w:t>+670 bps YoY</w:t>
            </w:r>
          </w:p>
        </w:tc>
        <w:tc>
          <w:tcPr>
            <w:tcW w:type="dxa" w:w="1234"/>
          </w:tcPr>
          <w:p>
            <w:r>
              <w:rPr>
                <w:rFonts w:ascii="Calibri" w:hAnsi="Calibri"/>
                <w:sz w:val="22"/>
              </w:rPr>
              <w:t>~12% ("approaching 12%")</w:t>
            </w:r>
          </w:p>
        </w:tc>
        <w:tc>
          <w:tcPr>
            <w:tcW w:type="dxa" w:w="1234"/>
          </w:tcPr>
          <w:p>
            <w:r>
              <w:rPr>
                <w:rFonts w:ascii="Calibri" w:hAnsi="Calibri"/>
                <w:sz w:val="22"/>
              </w:rPr>
              <w:t>~−20 bps below guide</w:t>
            </w:r>
          </w:p>
        </w:tc>
      </w:tr>
      <w:tr>
        <w:tc>
          <w:tcPr>
            <w:tcW w:type="dxa" w:w="1234"/>
          </w:tcPr>
          <w:p>
            <w:r>
              <w:rPr>
                <w:rFonts w:ascii="Calibri" w:hAnsi="Calibri"/>
                <w:sz w:val="22"/>
              </w:rPr>
              <w:t>Operating Margin (%)</w:t>
            </w:r>
          </w:p>
        </w:tc>
        <w:tc>
          <w:tcPr>
            <w:tcW w:type="dxa" w:w="1234"/>
          </w:tcPr>
          <w:p>
            <w:r>
              <w:rPr>
                <w:rFonts w:ascii="Calibri" w:hAnsi="Calibri"/>
                <w:sz w:val="22"/>
              </w:rPr>
              <w:t>16.7%</w:t>
            </w:r>
          </w:p>
        </w:tc>
        <w:tc>
          <w:tcPr>
            <w:tcW w:type="dxa" w:w="1234"/>
          </w:tcPr>
          <w:p>
            <w:r>
              <w:rPr>
                <w:rFonts w:ascii="Calibri" w:hAnsi="Calibri"/>
                <w:sz w:val="22"/>
              </w:rPr>
              <w:t>14.9%</w:t>
            </w:r>
          </w:p>
        </w:tc>
        <w:tc>
          <w:tcPr>
            <w:tcW w:type="dxa" w:w="1234"/>
          </w:tcPr>
          <w:p>
            <w:r>
              <w:rPr>
                <w:rFonts w:ascii="Calibri" w:hAnsi="Calibri"/>
                <w:sz w:val="22"/>
              </w:rPr>
              <w:t>15.5%</w:t>
            </w:r>
          </w:p>
        </w:tc>
        <w:tc>
          <w:tcPr>
            <w:tcW w:type="dxa" w:w="1234"/>
          </w:tcPr>
          <w:p>
            <w:r>
              <w:rPr>
                <w:rFonts w:ascii="Calibri" w:hAnsi="Calibri"/>
                <w:sz w:val="22"/>
              </w:rPr>
              <w:t>+60 bps YoY</w:t>
            </w:r>
          </w:p>
        </w:tc>
        <w:tc>
          <w:tcPr>
            <w:tcW w:type="dxa" w:w="1234"/>
          </w:tcPr>
          <w:p>
            <w:r>
              <w:rPr>
                <w:rFonts w:ascii="Calibri" w:hAnsi="Calibri"/>
                <w:sz w:val="22"/>
              </w:rPr>
              <w:t>Low 15% range</w:t>
            </w:r>
          </w:p>
        </w:tc>
        <w:tc>
          <w:tcPr>
            <w:tcW w:type="dxa" w:w="1234"/>
          </w:tcPr>
          <w:p>
            <w:r>
              <w:rPr>
                <w:rFonts w:ascii="Calibri" w:hAnsi="Calibri"/>
                <w:sz w:val="22"/>
              </w:rPr>
              <w:t>+~50 bps above guide midpoint</w:t>
            </w:r>
          </w:p>
        </w:tc>
      </w:tr>
      <w:tr>
        <w:tc>
          <w:tcPr>
            <w:tcW w:type="dxa" w:w="1234"/>
          </w:tcPr>
          <w:p>
            <w:r>
              <w:rPr>
                <w:rFonts w:ascii="Calibri" w:hAnsi="Calibri"/>
                <w:sz w:val="22"/>
              </w:rPr>
              <w:t>Adj. EPS (Diluted, Operating)</w:t>
            </w:r>
          </w:p>
        </w:tc>
        <w:tc>
          <w:tcPr>
            <w:tcW w:type="dxa" w:w="1234"/>
          </w:tcPr>
          <w:p>
            <w:r>
              <w:rPr>
                <w:rFonts w:ascii="Calibri" w:hAnsi="Calibri"/>
                <w:sz w:val="22"/>
              </w:rPr>
              <w:t>$11.65</w:t>
            </w:r>
          </w:p>
        </w:tc>
        <w:tc>
          <w:tcPr>
            <w:tcW w:type="dxa" w:w="1234"/>
          </w:tcPr>
          <w:p>
            <w:r>
              <w:rPr>
                <w:rFonts w:ascii="Calibri" w:hAnsi="Calibri"/>
                <w:sz w:val="22"/>
              </w:rPr>
              <w:t>$9.97</w:t>
            </w:r>
          </w:p>
        </w:tc>
        <w:tc>
          <w:tcPr>
            <w:tcW w:type="dxa" w:w="1234"/>
          </w:tcPr>
          <w:p>
            <w:r>
              <w:rPr>
                <w:rFonts w:ascii="Calibri" w:hAnsi="Calibri"/>
                <w:sz w:val="22"/>
              </w:rPr>
              <w:t>$11.28</w:t>
            </w:r>
          </w:p>
        </w:tc>
        <w:tc>
          <w:tcPr>
            <w:tcW w:type="dxa" w:w="1234"/>
          </w:tcPr>
          <w:p>
            <w:r>
              <w:rPr>
                <w:rFonts w:ascii="Calibri" w:hAnsi="Calibri"/>
                <w:sz w:val="22"/>
              </w:rPr>
              <w:t>+13.1% YoY</w:t>
            </w:r>
          </w:p>
        </w:tc>
        <w:tc>
          <w:tcPr>
            <w:tcW w:type="dxa" w:w="1234"/>
          </w:tcPr>
          <w:p>
            <w:r>
              <w:rPr>
                <w:rFonts w:ascii="Calibri" w:hAnsi="Calibri"/>
                <w:sz w:val="22"/>
              </w:rPr>
              <w:t>Implied by FY guide ($44.25–$46.25)</w:t>
            </w:r>
          </w:p>
        </w:tc>
        <w:tc>
          <w:tcPr>
            <w:tcW w:type="dxa" w:w="1234"/>
          </w:tcPr>
          <w:p>
            <w:r>
              <w:rPr>
                <w:rFonts w:ascii="Calibri" w:hAnsi="Calibri"/>
                <w:sz w:val="22"/>
              </w:rPr>
              <w:t>Within FY implied range</w:t>
            </w:r>
          </w:p>
        </w:tc>
      </w:tr>
      <w:tr>
        <w:tc>
          <w:tcPr>
            <w:tcW w:type="dxa" w:w="1234"/>
          </w:tcPr>
          <w:p>
            <w:r>
              <w:rPr>
                <w:rFonts w:ascii="Calibri" w:hAnsi="Calibri"/>
                <w:sz w:val="22"/>
              </w:rPr>
              <w:t>Revenue — High-Touch Solutions ($B)</w:t>
            </w:r>
          </w:p>
        </w:tc>
        <w:tc>
          <w:tcPr>
            <w:tcW w:type="dxa" w:w="1234"/>
          </w:tcPr>
          <w:p>
            <w:r>
              <w:rPr>
                <w:rFonts w:ascii="Calibri" w:hAnsi="Calibri"/>
                <w:sz w:val="22"/>
              </w:rPr>
              <w:t>$3.752B</w:t>
            </w:r>
          </w:p>
        </w:tc>
        <w:tc>
          <w:tcPr>
            <w:tcW w:type="dxa" w:w="1234"/>
          </w:tcPr>
          <w:p>
            <w:r>
              <w:rPr>
                <w:rFonts w:ascii="Calibri" w:hAnsi="Calibri"/>
                <w:sz w:val="22"/>
              </w:rPr>
              <w:t>$3.544B</w:t>
            </w:r>
          </w:p>
        </w:tc>
        <w:tc>
          <w:tcPr>
            <w:tcW w:type="dxa" w:w="1234"/>
          </w:tcPr>
          <w:p>
            <w:r>
              <w:rPr>
                <w:rFonts w:ascii="Calibri" w:hAnsi="Calibri"/>
                <w:sz w:val="22"/>
              </w:rPr>
              <w:t>$3.904B</w:t>
            </w:r>
          </w:p>
        </w:tc>
        <w:tc>
          <w:tcPr>
            <w:tcW w:type="dxa" w:w="1234"/>
          </w:tcPr>
          <w:p>
            <w:r>
              <w:rPr>
                <w:rFonts w:ascii="Calibri" w:hAnsi="Calibri"/>
                <w:sz w:val="22"/>
              </w:rPr>
              <w:t>+10.2% YoY</w:t>
            </w:r>
          </w:p>
        </w:tc>
        <w:tc>
          <w:tcPr>
            <w:tcW w:type="dxa" w:w="1234"/>
          </w:tcPr>
          <w:p>
            <w:r>
              <w:rPr>
                <w:rFonts w:ascii="Calibri" w:hAnsi="Calibri"/>
                <w:sz w:val="22"/>
              </w:rPr>
              <w:t>N/A (segment not separately guided)</w:t>
            </w:r>
          </w:p>
        </w:tc>
        <w:tc>
          <w:tcPr>
            <w:tcW w:type="dxa" w:w="1234"/>
          </w:tcPr>
          <w:p>
            <w:r>
              <w:rPr>
                <w:rFonts w:ascii="Calibri" w:hAnsi="Calibri"/>
                <w:sz w:val="22"/>
              </w:rPr>
              <w:t>N/A</w:t>
            </w:r>
          </w:p>
        </w:tc>
      </w:tr>
      <w:tr>
        <w:tc>
          <w:tcPr>
            <w:tcW w:type="dxa" w:w="1234"/>
          </w:tcPr>
          <w:p>
            <w:r>
              <w:rPr>
                <w:rFonts w:ascii="Calibri" w:hAnsi="Calibri"/>
                <w:sz w:val="22"/>
              </w:rPr>
              <w:t>Revenue — Endless Assortment ($B)</w:t>
            </w:r>
          </w:p>
        </w:tc>
        <w:tc>
          <w:tcPr>
            <w:tcW w:type="dxa" w:w="1234"/>
          </w:tcPr>
          <w:p>
            <w:r>
              <w:rPr>
                <w:rFonts w:ascii="Calibri" w:hAnsi="Calibri"/>
                <w:sz w:val="22"/>
              </w:rPr>
              <w:t>$0.990B</w:t>
            </w:r>
          </w:p>
        </w:tc>
        <w:tc>
          <w:tcPr>
            <w:tcW w:type="dxa" w:w="1234"/>
          </w:tcPr>
          <w:p>
            <w:r>
              <w:rPr>
                <w:rFonts w:ascii="Calibri" w:hAnsi="Calibri"/>
                <w:sz w:val="22"/>
              </w:rPr>
              <w:t>$0.929B</w:t>
            </w:r>
          </w:p>
        </w:tc>
        <w:tc>
          <w:tcPr>
            <w:tcW w:type="dxa" w:w="1234"/>
          </w:tcPr>
          <w:p>
            <w:r>
              <w:rPr>
                <w:rFonts w:ascii="Calibri" w:hAnsi="Calibri"/>
                <w:sz w:val="22"/>
              </w:rPr>
              <w:t>$1.048B</w:t>
            </w:r>
          </w:p>
        </w:tc>
        <w:tc>
          <w:tcPr>
            <w:tcW w:type="dxa" w:w="1234"/>
          </w:tcPr>
          <w:p>
            <w:r>
              <w:rPr>
                <w:rFonts w:ascii="Calibri" w:hAnsi="Calibri"/>
                <w:sz w:val="22"/>
              </w:rPr>
              <w:t>+12.8% YoY</w:t>
            </w:r>
          </w:p>
        </w:tc>
        <w:tc>
          <w:tcPr>
            <w:tcW w:type="dxa" w:w="1234"/>
          </w:tcPr>
          <w:p>
            <w:r>
              <w:rPr>
                <w:rFonts w:ascii="Calibri" w:hAnsi="Calibri"/>
                <w:sz w:val="22"/>
              </w:rPr>
              <w:t>N/A (segment not separately guided)</w:t>
            </w:r>
          </w:p>
        </w:tc>
        <w:tc>
          <w:tcPr>
            <w:tcW w:type="dxa" w:w="1234"/>
          </w:tcPr>
          <w:p>
            <w:r>
              <w:rPr>
                <w:rFonts w:ascii="Calibri" w:hAnsi="Calibri"/>
                <w:sz w:val="22"/>
              </w:rPr>
              <w:t>N/A</w:t>
            </w:r>
          </w:p>
        </w:tc>
      </w:tr>
      <w:tr>
        <w:tc>
          <w:tcPr>
            <w:tcW w:type="dxa" w:w="1234"/>
          </w:tcPr>
          <w:p>
            <w:r>
              <w:rPr>
                <w:rFonts w:ascii="Calibri" w:hAnsi="Calibri"/>
                <w:sz w:val="22"/>
              </w:rPr>
              <w:t>Gross Margin (%)</w:t>
            </w:r>
          </w:p>
        </w:tc>
        <w:tc>
          <w:tcPr>
            <w:tcW w:type="dxa" w:w="1234"/>
          </w:tcPr>
          <w:p>
            <w:r>
              <w:rPr>
                <w:rFonts w:ascii="Calibri" w:hAnsi="Calibri"/>
                <w:sz w:val="22"/>
              </w:rPr>
              <w:t>~40.0% (implied)</w:t>
            </w:r>
          </w:p>
        </w:tc>
        <w:tc>
          <w:tcPr>
            <w:tcW w:type="dxa" w:w="1234"/>
          </w:tcPr>
          <w:p>
            <w:r>
              <w:rPr>
                <w:rFonts w:ascii="Calibri" w:hAnsi="Calibri"/>
                <w:sz w:val="22"/>
              </w:rPr>
              <w:t>N/A — not in VA</w:t>
            </w:r>
          </w:p>
        </w:tc>
        <w:tc>
          <w:tcPr>
            <w:tcW w:type="dxa" w:w="1234"/>
          </w:tcPr>
          <w:p>
            <w:r>
              <w:rPr>
                <w:rFonts w:ascii="Calibri" w:hAnsi="Calibri"/>
                <w:sz w:val="22"/>
              </w:rPr>
              <w:t>N/A — not in VA</w:t>
            </w:r>
          </w:p>
        </w:tc>
        <w:tc>
          <w:tcPr>
            <w:tcW w:type="dxa" w:w="1234"/>
          </w:tcPr>
          <w:p>
            <w:r>
              <w:rPr>
                <w:rFonts w:ascii="Calibri" w:hAnsi="Calibri"/>
                <w:sz w:val="22"/>
              </w:rPr>
              <w:t>N/A</w:t>
            </w:r>
          </w:p>
        </w:tc>
        <w:tc>
          <w:tcPr>
            <w:tcW w:type="dxa" w:w="1234"/>
          </w:tcPr>
          <w:p>
            <w:r>
              <w:rPr>
                <w:rFonts w:ascii="Calibri" w:hAnsi="Calibri"/>
                <w:sz w:val="22"/>
              </w:rPr>
              <w:t>~39% (guided ~1 pt step-down from Q1)</w:t>
            </w:r>
          </w:p>
        </w:tc>
        <w:tc>
          <w:tcPr>
            <w:tcW w:type="dxa" w:w="1234"/>
          </w:tcPr>
          <w:p>
            <w:r>
              <w:rPr>
                <w:rFonts w:ascii="Calibri" w:hAnsi="Calibri"/>
                <w:sz w:val="22"/>
              </w:rPr>
              <w:t>N/A</w:t>
            </w:r>
          </w:p>
        </w:tc>
      </w:tr>
    </w:tbl>
    <w:p>
      <w:r>
        <w:rPr>
          <w:rFonts w:ascii="Calibri" w:hAnsi="Calibri"/>
          <w:i/>
          <w:color w:val="525866"/>
          <w:sz w:val="22"/>
        </w:rPr>
        <w:t xml:space="preserve">Sources: </w:t>
      </w:r>
      <w:r>
        <w:rPr>
          <w:rFonts w:ascii="Calibri" w:hAnsi="Calibri"/>
          <w:i/>
          <w:color w:val="525866"/>
          <w:sz w:val="22"/>
        </w:rPr>
        <w:t>Revenue, Daily Organic CC Growth, Operating Margin, Adj. EPS, Segment Revenue — Visible Alpha Consensus and Actuals Data. Q2 2026 guidance from GWW Q1 2026 Earnings Call (May 7, 2026).</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KPI 1: Daily Organic Constant Currency Growth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5.1%</w:t>
            </w:r>
          </w:p>
        </w:tc>
        <w:tc>
          <w:tcPr>
            <w:tcW w:type="dxa" w:w="1728"/>
          </w:tcPr>
          <w:p>
            <w:r>
              <w:rPr>
                <w:rFonts w:ascii="Calibri" w:hAnsi="Calibri"/>
                <w:sz w:val="22"/>
              </w:rPr>
              <w:t>5.4%</w:t>
            </w:r>
          </w:p>
        </w:tc>
        <w:tc>
          <w:tcPr>
            <w:tcW w:type="dxa" w:w="1728"/>
          </w:tcPr>
          <w:p>
            <w:r>
              <w:rPr>
                <w:rFonts w:ascii="Calibri" w:hAnsi="Calibri"/>
                <w:sz w:val="22"/>
              </w:rPr>
              <w:t>−30 bps</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4.0%</w:t>
            </w:r>
          </w:p>
        </w:tc>
        <w:tc>
          <w:tcPr>
            <w:tcW w:type="dxa" w:w="1728"/>
          </w:tcPr>
          <w:p>
            <w:r>
              <w:rPr>
                <w:rFonts w:ascii="Calibri" w:hAnsi="Calibri"/>
                <w:sz w:val="22"/>
              </w:rPr>
              <w:t>5.4%</w:t>
            </w:r>
          </w:p>
        </w:tc>
        <w:tc>
          <w:tcPr>
            <w:tcW w:type="dxa" w:w="1728"/>
          </w:tcPr>
          <w:p>
            <w:r>
              <w:rPr>
                <w:rFonts w:ascii="Calibri" w:hAnsi="Calibri"/>
                <w:sz w:val="22"/>
              </w:rPr>
              <w:t>−140 bps</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4.7%</w:t>
            </w:r>
          </w:p>
        </w:tc>
        <w:tc>
          <w:tcPr>
            <w:tcW w:type="dxa" w:w="1728"/>
          </w:tcPr>
          <w:p>
            <w:r>
              <w:rPr>
                <w:rFonts w:ascii="Calibri" w:hAnsi="Calibri"/>
                <w:sz w:val="22"/>
              </w:rPr>
              <w:t>5.6%</w:t>
            </w:r>
          </w:p>
        </w:tc>
        <w:tc>
          <w:tcPr>
            <w:tcW w:type="dxa" w:w="1728"/>
          </w:tcPr>
          <w:p>
            <w:r>
              <w:rPr>
                <w:rFonts w:ascii="Calibri" w:hAnsi="Calibri"/>
                <w:sz w:val="22"/>
              </w:rPr>
              <w:t>−90 bps</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4.4%</w:t>
            </w:r>
          </w:p>
        </w:tc>
        <w:tc>
          <w:tcPr>
            <w:tcW w:type="dxa" w:w="1728"/>
          </w:tcPr>
          <w:p>
            <w:r>
              <w:rPr>
                <w:rFonts w:ascii="Calibri" w:hAnsi="Calibri"/>
                <w:sz w:val="22"/>
              </w:rPr>
              <w:t>3.5%</w:t>
            </w:r>
          </w:p>
        </w:tc>
        <w:tc>
          <w:tcPr>
            <w:tcW w:type="dxa" w:w="1728"/>
          </w:tcPr>
          <w:p>
            <w:r>
              <w:rPr>
                <w:rFonts w:ascii="Calibri" w:hAnsi="Calibri"/>
                <w:sz w:val="22"/>
              </w:rPr>
              <w:t>+90 bps</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5.1%</w:t>
            </w:r>
          </w:p>
        </w:tc>
        <w:tc>
          <w:tcPr>
            <w:tcW w:type="dxa" w:w="1728"/>
          </w:tcPr>
          <w:p>
            <w:r>
              <w:rPr>
                <w:rFonts w:ascii="Calibri" w:hAnsi="Calibri"/>
                <w:sz w:val="22"/>
              </w:rPr>
              <w:t>5.4%</w:t>
            </w:r>
          </w:p>
        </w:tc>
        <w:tc>
          <w:tcPr>
            <w:tcW w:type="dxa" w:w="1728"/>
          </w:tcPr>
          <w:p>
            <w:r>
              <w:rPr>
                <w:rFonts w:ascii="Calibri" w:hAnsi="Calibri"/>
                <w:sz w:val="22"/>
              </w:rPr>
              <w:t>−30 bps</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5.4%</w:t>
            </w:r>
          </w:p>
        </w:tc>
        <w:tc>
          <w:tcPr>
            <w:tcW w:type="dxa" w:w="1728"/>
          </w:tcPr>
          <w:p>
            <w:r>
              <w:rPr>
                <w:rFonts w:ascii="Calibri" w:hAnsi="Calibri"/>
                <w:sz w:val="22"/>
              </w:rPr>
              <w:t>5.7%</w:t>
            </w:r>
          </w:p>
        </w:tc>
        <w:tc>
          <w:tcPr>
            <w:tcW w:type="dxa" w:w="1728"/>
          </w:tcPr>
          <w:p>
            <w:r>
              <w:rPr>
                <w:rFonts w:ascii="Calibri" w:hAnsi="Calibri"/>
                <w:sz w:val="22"/>
              </w:rPr>
              <w:t>−30 bps</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4.6%</w:t>
            </w:r>
          </w:p>
        </w:tc>
        <w:tc>
          <w:tcPr>
            <w:tcW w:type="dxa" w:w="1728"/>
          </w:tcPr>
          <w:p>
            <w:r>
              <w:rPr>
                <w:rFonts w:ascii="Calibri" w:hAnsi="Calibri"/>
                <w:sz w:val="22"/>
              </w:rPr>
              <w:t>4.5%</w:t>
            </w:r>
          </w:p>
        </w:tc>
        <w:tc>
          <w:tcPr>
            <w:tcW w:type="dxa" w:w="1728"/>
          </w:tcPr>
          <w:p>
            <w:r>
              <w:rPr>
                <w:rFonts w:ascii="Calibri" w:hAnsi="Calibri"/>
                <w:sz w:val="22"/>
              </w:rPr>
              <w:t>+10 bps</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12.2%</w:t>
            </w:r>
          </w:p>
        </w:tc>
        <w:tc>
          <w:tcPr>
            <w:tcW w:type="dxa" w:w="1728"/>
          </w:tcPr>
          <w:p>
            <w:r>
              <w:rPr>
                <w:rFonts w:ascii="Calibri" w:hAnsi="Calibri"/>
                <w:sz w:val="22"/>
              </w:rPr>
              <w:t>7.7%</w:t>
            </w:r>
          </w:p>
        </w:tc>
        <w:tc>
          <w:tcPr>
            <w:tcW w:type="dxa" w:w="1728"/>
          </w:tcPr>
          <w:p>
            <w:r>
              <w:rPr>
                <w:rFonts w:ascii="Calibri" w:hAnsi="Calibri"/>
                <w:sz w:val="22"/>
              </w:rPr>
              <w:t>+450 bps</w:t>
            </w:r>
          </w:p>
        </w:tc>
        <w:tc>
          <w:tcPr>
            <w:tcW w:type="dxa" w:w="1728"/>
          </w:tcPr>
          <w:p>
            <w:r>
              <w:rPr>
                <w:rFonts w:ascii="Calibri" w:hAnsi="Calibri"/>
                <w:b/>
                <w:color w:val="30A46C"/>
                <w:sz w:val="22"/>
              </w:rPr>
              <w:t>Significant Beat</w:t>
            </w:r>
          </w:p>
        </w:tc>
      </w:tr>
    </w:tbl>
    <w:p>
      <w:r>
        <w:rPr>
          <w:rFonts w:ascii="Calibri" w:hAnsi="Calibri"/>
          <w:b/>
          <w:color w:val="525866"/>
          <w:sz w:val="22"/>
        </w:rPr>
        <w:t xml:space="preserve">Pattern: </w:t>
      </w:r>
      <w:r>
        <w:rPr>
          <w:rFonts w:ascii="Calibri" w:hAnsi="Calibri"/>
          <w:color w:val="525866"/>
          <w:sz w:val="22"/>
        </w:rPr>
        <w:t>GWW missed on daily organic CC growth in 5 of the prior 7 quarters before delivering a massive 450 bps beat in Q1 2026, suggesting the Street had been setting a high bar that GWW consistently undershot — until the demand inflection in Q1 2026 reset expectations sharply higher.</w:t>
      </w:r>
    </w:p>
    <w:p>
      <w:r>
        <w:rPr>
          <w:rFonts w:ascii="Calibri" w:hAnsi="Calibri"/>
          <w:i/>
          <w:color w:val="525866"/>
          <w:sz w:val="22"/>
        </w:rPr>
        <w:t xml:space="preserve">Source: </w:t>
      </w:r>
      <w:r>
        <w:rPr>
          <w:rFonts w:ascii="Calibri" w:hAnsi="Calibri"/>
          <w:i/>
          <w:color w:val="525866"/>
          <w:sz w:val="22"/>
        </w:rPr>
        <w:t>Visible Alpha Consensus and Actuals Data.</w:t>
      </w:r>
    </w:p>
    <w:p>
      <w:pPr>
        <w:pStyle w:val="Heading4"/>
      </w:pPr>
      <w:r>
        <w:rPr>
          <w:rFonts w:ascii="Calibri" w:hAnsi="Calibri"/>
          <w:b/>
          <w:color w:val="3B4259"/>
          <w:sz w:val="22"/>
        </w:rPr>
        <w:t>KPI 2: Adjusted EPS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$9.76</w:t>
            </w:r>
          </w:p>
        </w:tc>
        <w:tc>
          <w:tcPr>
            <w:tcW w:type="dxa" w:w="1728"/>
          </w:tcPr>
          <w:p>
            <w:r>
              <w:rPr>
                <w:rFonts w:ascii="Calibri" w:hAnsi="Calibri"/>
                <w:sz w:val="22"/>
              </w:rPr>
              <w:t>$9.59</w:t>
            </w:r>
          </w:p>
        </w:tc>
        <w:tc>
          <w:tcPr>
            <w:tcW w:type="dxa" w:w="1728"/>
          </w:tcPr>
          <w:p>
            <w:r>
              <w:rPr>
                <w:rFonts w:ascii="Calibri" w:hAnsi="Calibri"/>
                <w:sz w:val="22"/>
              </w:rPr>
              <w:t>+1.8%</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$9.87</w:t>
            </w:r>
          </w:p>
        </w:tc>
        <w:tc>
          <w:tcPr>
            <w:tcW w:type="dxa" w:w="1728"/>
          </w:tcPr>
          <w:p>
            <w:r>
              <w:rPr>
                <w:rFonts w:ascii="Calibri" w:hAnsi="Calibri"/>
                <w:sz w:val="22"/>
              </w:rPr>
              <w:t>$9.97</w:t>
            </w:r>
          </w:p>
        </w:tc>
        <w:tc>
          <w:tcPr>
            <w:tcW w:type="dxa" w:w="1728"/>
          </w:tcPr>
          <w:p>
            <w:r>
              <w:rPr>
                <w:rFonts w:ascii="Calibri" w:hAnsi="Calibri"/>
                <w:sz w:val="22"/>
              </w:rPr>
              <w:t>−1.0%</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$9.71</w:t>
            </w:r>
          </w:p>
        </w:tc>
        <w:tc>
          <w:tcPr>
            <w:tcW w:type="dxa" w:w="1728"/>
          </w:tcPr>
          <w:p>
            <w:r>
              <w:rPr>
                <w:rFonts w:ascii="Calibri" w:hAnsi="Calibri"/>
                <w:sz w:val="22"/>
              </w:rPr>
              <w:t>$9.73</w:t>
            </w:r>
          </w:p>
        </w:tc>
        <w:tc>
          <w:tcPr>
            <w:tcW w:type="dxa" w:w="1728"/>
          </w:tcPr>
          <w:p>
            <w:r>
              <w:rPr>
                <w:rFonts w:ascii="Calibri" w:hAnsi="Calibri"/>
                <w:sz w:val="22"/>
              </w:rPr>
              <w:t>−0.2%</w:t>
            </w:r>
          </w:p>
        </w:tc>
        <w:tc>
          <w:tcPr>
            <w:tcW w:type="dxa" w:w="1728"/>
          </w:tcPr>
          <w:p>
            <w:r>
              <w:rPr>
                <w:rFonts w:ascii="Calibri" w:hAnsi="Calibri"/>
                <w:b/>
                <w:color w:val="E5484D"/>
                <w:sz w:val="22"/>
              </w:rPr>
              <w:t>In-Line / Slight Miss</w:t>
            </w:r>
          </w:p>
        </w:tc>
      </w:tr>
      <w:tr>
        <w:tc>
          <w:tcPr>
            <w:tcW w:type="dxa" w:w="1728"/>
          </w:tcPr>
          <w:p>
            <w:r>
              <w:rPr>
                <w:rFonts w:ascii="Calibri" w:hAnsi="Calibri"/>
                <w:sz w:val="22"/>
              </w:rPr>
              <w:t>Q1 2025</w:t>
            </w:r>
          </w:p>
        </w:tc>
        <w:tc>
          <w:tcPr>
            <w:tcW w:type="dxa" w:w="1728"/>
          </w:tcPr>
          <w:p>
            <w:r>
              <w:rPr>
                <w:rFonts w:ascii="Calibri" w:hAnsi="Calibri"/>
                <w:sz w:val="22"/>
              </w:rPr>
              <w:t>$9.86</w:t>
            </w:r>
          </w:p>
        </w:tc>
        <w:tc>
          <w:tcPr>
            <w:tcW w:type="dxa" w:w="1728"/>
          </w:tcPr>
          <w:p>
            <w:r>
              <w:rPr>
                <w:rFonts w:ascii="Calibri" w:hAnsi="Calibri"/>
                <w:sz w:val="22"/>
              </w:rPr>
              <w:t>$9.51</w:t>
            </w:r>
          </w:p>
        </w:tc>
        <w:tc>
          <w:tcPr>
            <w:tcW w:type="dxa" w:w="1728"/>
          </w:tcPr>
          <w:p>
            <w:r>
              <w:rPr>
                <w:rFonts w:ascii="Calibri" w:hAnsi="Calibri"/>
                <w:sz w:val="22"/>
              </w:rPr>
              <w:t>+3.7%</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$9.97</w:t>
            </w:r>
          </w:p>
        </w:tc>
        <w:tc>
          <w:tcPr>
            <w:tcW w:type="dxa" w:w="1728"/>
          </w:tcPr>
          <w:p>
            <w:r>
              <w:rPr>
                <w:rFonts w:ascii="Calibri" w:hAnsi="Calibri"/>
                <w:sz w:val="22"/>
              </w:rPr>
              <w:t>$10.09</w:t>
            </w:r>
          </w:p>
        </w:tc>
        <w:tc>
          <w:tcPr>
            <w:tcW w:type="dxa" w:w="1728"/>
          </w:tcPr>
          <w:p>
            <w:r>
              <w:rPr>
                <w:rFonts w:ascii="Calibri" w:hAnsi="Calibri"/>
                <w:sz w:val="22"/>
              </w:rPr>
              <w:t>−1.2%</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$10.21</w:t>
            </w:r>
          </w:p>
        </w:tc>
        <w:tc>
          <w:tcPr>
            <w:tcW w:type="dxa" w:w="1728"/>
          </w:tcPr>
          <w:p>
            <w:r>
              <w:rPr>
                <w:rFonts w:ascii="Calibri" w:hAnsi="Calibri"/>
                <w:sz w:val="22"/>
              </w:rPr>
              <w:t>$9.92</w:t>
            </w:r>
          </w:p>
        </w:tc>
        <w:tc>
          <w:tcPr>
            <w:tcW w:type="dxa" w:w="1728"/>
          </w:tcPr>
          <w:p>
            <w:r>
              <w:rPr>
                <w:rFonts w:ascii="Calibri" w:hAnsi="Calibri"/>
                <w:sz w:val="22"/>
              </w:rPr>
              <w:t>+2.9%</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$9.44</w:t>
            </w:r>
          </w:p>
        </w:tc>
        <w:tc>
          <w:tcPr>
            <w:tcW w:type="dxa" w:w="1728"/>
          </w:tcPr>
          <w:p>
            <w:r>
              <w:rPr>
                <w:rFonts w:ascii="Calibri" w:hAnsi="Calibri"/>
                <w:sz w:val="22"/>
              </w:rPr>
              <w:t>$9.45</w:t>
            </w:r>
          </w:p>
        </w:tc>
        <w:tc>
          <w:tcPr>
            <w:tcW w:type="dxa" w:w="1728"/>
          </w:tcPr>
          <w:p>
            <w:r>
              <w:rPr>
                <w:rFonts w:ascii="Calibri" w:hAnsi="Calibri"/>
                <w:sz w:val="22"/>
              </w:rPr>
              <w:t>−0.1%</w:t>
            </w:r>
          </w:p>
        </w:tc>
        <w:tc>
          <w:tcPr>
            <w:tcW w:type="dxa" w:w="1728"/>
          </w:tcPr>
          <w:p>
            <w:r>
              <w:rPr>
                <w:rFonts w:ascii="Calibri" w:hAnsi="Calibri"/>
                <w:b/>
                <w:color w:val="E5484D"/>
                <w:sz w:val="22"/>
              </w:rPr>
              <w:t>In-Line</w:t>
            </w:r>
          </w:p>
        </w:tc>
      </w:tr>
      <w:tr>
        <w:tc>
          <w:tcPr>
            <w:tcW w:type="dxa" w:w="1728"/>
          </w:tcPr>
          <w:p>
            <w:r>
              <w:rPr>
                <w:rFonts w:ascii="Calibri" w:hAnsi="Calibri"/>
                <w:sz w:val="22"/>
              </w:rPr>
              <w:t>Q1 2026</w:t>
            </w:r>
          </w:p>
        </w:tc>
        <w:tc>
          <w:tcPr>
            <w:tcW w:type="dxa" w:w="1728"/>
          </w:tcPr>
          <w:p>
            <w:r>
              <w:rPr>
                <w:rFonts w:ascii="Calibri" w:hAnsi="Calibri"/>
                <w:sz w:val="22"/>
              </w:rPr>
              <w:t>$11.65</w:t>
            </w:r>
          </w:p>
        </w:tc>
        <w:tc>
          <w:tcPr>
            <w:tcW w:type="dxa" w:w="1728"/>
          </w:tcPr>
          <w:p>
            <w:r>
              <w:rPr>
                <w:rFonts w:ascii="Calibri" w:hAnsi="Calibri"/>
                <w:sz w:val="22"/>
              </w:rPr>
              <w:t>$10.19</w:t>
            </w:r>
          </w:p>
        </w:tc>
        <w:tc>
          <w:tcPr>
            <w:tcW w:type="dxa" w:w="1728"/>
          </w:tcPr>
          <w:p>
            <w:r>
              <w:rPr>
                <w:rFonts w:ascii="Calibri" w:hAnsi="Calibri"/>
                <w:sz w:val="22"/>
              </w:rPr>
              <w:t>+14.3%</w:t>
            </w:r>
          </w:p>
        </w:tc>
        <w:tc>
          <w:tcPr>
            <w:tcW w:type="dxa" w:w="1728"/>
          </w:tcPr>
          <w:p>
            <w:r>
              <w:rPr>
                <w:rFonts w:ascii="Calibri" w:hAnsi="Calibri"/>
                <w:b/>
                <w:color w:val="30A46C"/>
                <w:sz w:val="22"/>
              </w:rPr>
              <w:t>Significant Beat</w:t>
            </w:r>
          </w:p>
        </w:tc>
      </w:tr>
    </w:tbl>
    <w:p>
      <w:r>
        <w:rPr>
          <w:rFonts w:ascii="Calibri" w:hAnsi="Calibri"/>
          <w:b/>
          <w:color w:val="525866"/>
          <w:sz w:val="22"/>
        </w:rPr>
        <w:t xml:space="preserve">Pattern: </w:t>
      </w:r>
      <w:r>
        <w:rPr>
          <w:rFonts w:ascii="Calibri" w:hAnsi="Calibri"/>
          <w:color w:val="525866"/>
          <w:sz w:val="22"/>
        </w:rPr>
        <w:t>GWW beat on adj. EPS in 4 of the last 8 quarters, with the two most recent beats being the largest (+14.3% in Q1 2026 and +2.9% in Q3 2025), suggesting an improving beat cadence as the demand environment inflected; the Q1 2026 beat was exceptional and driven by the demand inflection rather than a structural change in the earnings model.</w:t>
      </w:r>
    </w:p>
    <w:p>
      <w:r>
        <w:rPr>
          <w:rFonts w:ascii="Calibri" w:hAnsi="Calibri"/>
          <w:i/>
          <w:color w:val="525866"/>
          <w:sz w:val="22"/>
        </w:rPr>
        <w:t xml:space="preserve">Source: </w:t>
      </w:r>
      <w:r>
        <w:rPr>
          <w:rFonts w:ascii="Calibri" w:hAnsi="Calibri"/>
          <w:i/>
          <w:color w:val="525866"/>
          <w:sz w:val="22"/>
        </w:rPr>
        <w:t>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was raised meaningfully at the Q1 2026 print (May 7) and has not been formally revised since; the only post-earnings development is the CFO departure announced July 31, which does not change financial guidance but introduces leadership uncertainty heading into the back half.</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7,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Daily Organic CC Sales Growth</w:t>
            </w:r>
          </w:p>
        </w:tc>
        <w:tc>
          <w:tcPr>
            <w:tcW w:type="dxa" w:w="1728"/>
          </w:tcPr>
          <w:p>
            <w:r>
              <w:rPr>
                <w:rFonts w:ascii="Calibri" w:hAnsi="Calibri"/>
                <w:sz w:val="22"/>
              </w:rPr>
              <w:t>9.5%–12.0%</w:t>
            </w:r>
          </w:p>
        </w:tc>
        <w:tc>
          <w:tcPr>
            <w:tcW w:type="dxa" w:w="1728"/>
          </w:tcPr>
          <w:p>
            <w:r>
              <w:rPr>
                <w:rFonts w:ascii="Calibri" w:hAnsi="Calibri"/>
                <w:sz w:val="22"/>
              </w:rPr>
              <w:t>—</w:t>
            </w:r>
          </w:p>
        </w:tc>
        <w:tc>
          <w:tcPr>
            <w:tcW w:type="dxa" w:w="1728"/>
          </w:tcPr>
          <w:p>
            <w:r>
              <w:rPr>
                <w:rFonts w:ascii="Calibri" w:hAnsi="Calibri"/>
                <w:sz w:val="22"/>
              </w:rPr>
              <w:t>~10.6%</w:t>
            </w:r>
          </w:p>
        </w:tc>
        <w:tc>
          <w:tcPr>
            <w:tcW w:type="dxa" w:w="1728"/>
          </w:tcPr>
          <w:p>
            <w:r>
              <w:rPr>
                <w:rFonts w:ascii="Calibri" w:hAnsi="Calibri"/>
                <w:sz w:val="22"/>
              </w:rPr>
              <w:t>↑ Raised from prior range at Q1 print; no post-earnings revision. Consensus near midpoint.</w:t>
            </w:r>
          </w:p>
        </w:tc>
      </w:tr>
      <w:tr>
        <w:tc>
          <w:tcPr>
            <w:tcW w:type="dxa" w:w="1728"/>
          </w:tcPr>
          <w:p>
            <w:r>
              <w:rPr>
                <w:rFonts w:ascii="Calibri" w:hAnsi="Calibri"/>
                <w:sz w:val="22"/>
              </w:rPr>
              <w:t>FY2026 Adj. EPS</w:t>
            </w:r>
          </w:p>
        </w:tc>
        <w:tc>
          <w:tcPr>
            <w:tcW w:type="dxa" w:w="1728"/>
          </w:tcPr>
          <w:p>
            <w:r>
              <w:rPr>
                <w:rFonts w:ascii="Calibri" w:hAnsi="Calibri"/>
                <w:sz w:val="22"/>
              </w:rPr>
              <w:t>$44.25–$46.25 (~$45.25 midpoint)</w:t>
            </w:r>
          </w:p>
        </w:tc>
        <w:tc>
          <w:tcPr>
            <w:tcW w:type="dxa" w:w="1728"/>
          </w:tcPr>
          <w:p>
            <w:r>
              <w:rPr>
                <w:rFonts w:ascii="Calibri" w:hAnsi="Calibri"/>
                <w:sz w:val="22"/>
              </w:rPr>
              <w:t>—</w:t>
            </w:r>
          </w:p>
        </w:tc>
        <w:tc>
          <w:tcPr>
            <w:tcW w:type="dxa" w:w="1728"/>
          </w:tcPr>
          <w:p>
            <w:r>
              <w:rPr>
                <w:rFonts w:ascii="Calibri" w:hAnsi="Calibri"/>
                <w:sz w:val="22"/>
              </w:rPr>
              <w:t>$45.69</w:t>
            </w:r>
          </w:p>
        </w:tc>
        <w:tc>
          <w:tcPr>
            <w:tcW w:type="dxa" w:w="1728"/>
          </w:tcPr>
          <w:p>
            <w:r>
              <w:rPr>
                <w:rFonts w:ascii="Calibri" w:hAnsi="Calibri"/>
                <w:sz w:val="22"/>
              </w:rPr>
              <w:t>↑ Raised $1.75 at midpoint vs. prior guide; consensus slightly above midpoint.</w:t>
            </w:r>
          </w:p>
        </w:tc>
      </w:tr>
      <w:tr>
        <w:tc>
          <w:tcPr>
            <w:tcW w:type="dxa" w:w="1728"/>
          </w:tcPr>
          <w:p>
            <w:r>
              <w:rPr>
                <w:rFonts w:ascii="Calibri" w:hAnsi="Calibri"/>
                <w:sz w:val="22"/>
              </w:rPr>
              <w:t>Q2 2026 Revenue</w:t>
            </w:r>
          </w:p>
        </w:tc>
        <w:tc>
          <w:tcPr>
            <w:tcW w:type="dxa" w:w="1728"/>
          </w:tcPr>
          <w:p>
            <w:r>
              <w:rPr>
                <w:rFonts w:ascii="Calibri" w:hAnsi="Calibri"/>
                <w:sz w:val="22"/>
              </w:rPr>
              <w:t>&gt;$4.9B ("north of $4.9B")</w:t>
            </w:r>
          </w:p>
        </w:tc>
        <w:tc>
          <w:tcPr>
            <w:tcW w:type="dxa" w:w="1728"/>
          </w:tcPr>
          <w:p>
            <w:r>
              <w:rPr>
                <w:rFonts w:ascii="Calibri" w:hAnsi="Calibri"/>
                <w:sz w:val="22"/>
              </w:rPr>
              <w:t>—</w:t>
            </w:r>
          </w:p>
        </w:tc>
        <w:tc>
          <w:tcPr>
            <w:tcW w:type="dxa" w:w="1728"/>
          </w:tcPr>
          <w:p>
            <w:r>
              <w:rPr>
                <w:rFonts w:ascii="Calibri" w:hAnsi="Calibri"/>
                <w:sz w:val="22"/>
              </w:rPr>
              <w:t>$4.959B</w:t>
            </w:r>
          </w:p>
        </w:tc>
        <w:tc>
          <w:tcPr>
            <w:tcW w:type="dxa" w:w="1728"/>
          </w:tcPr>
          <w:p>
            <w:r>
              <w:rPr>
                <w:rFonts w:ascii="Calibri" w:hAnsi="Calibri"/>
                <w:sz w:val="22"/>
              </w:rPr>
              <w:t>No post-earnings revision. Consensus ~1.2% above floor.</w:t>
            </w:r>
          </w:p>
        </w:tc>
      </w:tr>
      <w:tr>
        <w:tc>
          <w:tcPr>
            <w:tcW w:type="dxa" w:w="1728"/>
          </w:tcPr>
          <w:p>
            <w:r>
              <w:rPr>
                <w:rFonts w:ascii="Calibri" w:hAnsi="Calibri"/>
                <w:sz w:val="22"/>
              </w:rPr>
              <w:t>Q2 2026 Daily Organic CC Growth</w:t>
            </w:r>
          </w:p>
        </w:tc>
        <w:tc>
          <w:tcPr>
            <w:tcW w:type="dxa" w:w="1728"/>
          </w:tcPr>
          <w:p>
            <w:r>
              <w:rPr>
                <w:rFonts w:ascii="Calibri" w:hAnsi="Calibri"/>
                <w:sz w:val="22"/>
              </w:rPr>
              <w:t>~12% ("approaching 12%")</w:t>
            </w:r>
          </w:p>
        </w:tc>
        <w:tc>
          <w:tcPr>
            <w:tcW w:type="dxa" w:w="1728"/>
          </w:tcPr>
          <w:p>
            <w:r>
              <w:rPr>
                <w:rFonts w:ascii="Calibri" w:hAnsi="Calibri"/>
                <w:sz w:val="22"/>
              </w:rPr>
              <w:t>—</w:t>
            </w:r>
          </w:p>
        </w:tc>
        <w:tc>
          <w:tcPr>
            <w:tcW w:type="dxa" w:w="1728"/>
          </w:tcPr>
          <w:p>
            <w:r>
              <w:rPr>
                <w:rFonts w:ascii="Calibri" w:hAnsi="Calibri"/>
                <w:sz w:val="22"/>
              </w:rPr>
              <w:t>~11.8%</w:t>
            </w:r>
          </w:p>
        </w:tc>
        <w:tc>
          <w:tcPr>
            <w:tcW w:type="dxa" w:w="1728"/>
          </w:tcPr>
          <w:p>
            <w:r>
              <w:rPr>
                <w:rFonts w:ascii="Calibri" w:hAnsi="Calibri"/>
                <w:sz w:val="22"/>
              </w:rPr>
              <w:t>No post-earnings revision. Consensus slightly below guide.</w:t>
            </w:r>
          </w:p>
        </w:tc>
      </w:tr>
      <w:tr>
        <w:tc>
          <w:tcPr>
            <w:tcW w:type="dxa" w:w="1728"/>
          </w:tcPr>
          <w:p>
            <w:r>
              <w:rPr>
                <w:rFonts w:ascii="Calibri" w:hAnsi="Calibri"/>
                <w:sz w:val="22"/>
              </w:rPr>
              <w:t>Q2 2026 Operating Margin</w:t>
            </w:r>
          </w:p>
        </w:tc>
        <w:tc>
          <w:tcPr>
            <w:tcW w:type="dxa" w:w="1728"/>
          </w:tcPr>
          <w:p>
            <w:r>
              <w:rPr>
                <w:rFonts w:ascii="Calibri" w:hAnsi="Calibri"/>
                <w:sz w:val="22"/>
              </w:rPr>
              <w:t>Low 15% range</w:t>
            </w:r>
          </w:p>
        </w:tc>
        <w:tc>
          <w:tcPr>
            <w:tcW w:type="dxa" w:w="1728"/>
          </w:tcPr>
          <w:p>
            <w:r>
              <w:rPr>
                <w:rFonts w:ascii="Calibri" w:hAnsi="Calibri"/>
                <w:sz w:val="22"/>
              </w:rPr>
              <w:t>—</w:t>
            </w:r>
          </w:p>
        </w:tc>
        <w:tc>
          <w:tcPr>
            <w:tcW w:type="dxa" w:w="1728"/>
          </w:tcPr>
          <w:p>
            <w:r>
              <w:rPr>
                <w:rFonts w:ascii="Calibri" w:hAnsi="Calibri"/>
                <w:sz w:val="22"/>
              </w:rPr>
              <w:t>~15.5%</w:t>
            </w:r>
          </w:p>
        </w:tc>
        <w:tc>
          <w:tcPr>
            <w:tcW w:type="dxa" w:w="1728"/>
          </w:tcPr>
          <w:p>
            <w:r>
              <w:rPr>
                <w:rFonts w:ascii="Calibri" w:hAnsi="Calibri"/>
                <w:sz w:val="22"/>
              </w:rPr>
              <w:t>No post-earnings revision. Consensus ~50 bps above guide midpoint — Street is more optimistic than management.</w:t>
            </w:r>
          </w:p>
        </w:tc>
      </w:tr>
      <w:tr>
        <w:tc>
          <w:tcPr>
            <w:tcW w:type="dxa" w:w="1728"/>
          </w:tcPr>
          <w:p>
            <w:r>
              <w:rPr>
                <w:rFonts w:ascii="Calibri" w:hAnsi="Calibri"/>
                <w:sz w:val="22"/>
              </w:rPr>
              <w:t>CFO Leadership</w:t>
            </w:r>
          </w:p>
        </w:tc>
        <w:tc>
          <w:tcPr>
            <w:tcW w:type="dxa" w:w="1728"/>
          </w:tcPr>
          <w:p>
            <w:r>
              <w:rPr>
                <w:rFonts w:ascii="Calibri" w:hAnsi="Calibri"/>
                <w:sz w:val="22"/>
              </w:rPr>
              <w:t>Deidra Merriwether (SVP &amp; CFO) in role</w:t>
            </w:r>
          </w:p>
        </w:tc>
        <w:tc>
          <w:tcPr>
            <w:tcW w:type="dxa" w:w="1728"/>
          </w:tcPr>
          <w:p>
            <w:r>
              <w:rPr>
                <w:rFonts w:ascii="Calibri" w:hAnsi="Calibri"/>
                <w:sz w:val="22"/>
              </w:rPr>
              <w:t>Merriwether resignation effective Sept. 4, 2026; Laurie Thomson (VP, Controller) appointed interim CFO effective Sept. 5, 2026. Permanent search underway.</w:t>
            </w:r>
          </w:p>
        </w:tc>
        <w:tc>
          <w:tcPr>
            <w:tcW w:type="dxa" w:w="1728"/>
          </w:tcPr>
          <w:p>
            <w:r>
              <w:rPr>
                <w:rFonts w:ascii="Calibri" w:hAnsi="Calibri"/>
                <w:sz w:val="22"/>
              </w:rPr>
              <w:t>N/A</w:t>
            </w:r>
          </w:p>
        </w:tc>
        <w:tc>
          <w:tcPr>
            <w:tcW w:type="dxa" w:w="1728"/>
          </w:tcPr>
          <w:p>
            <w:r>
              <w:rPr>
                <w:rFonts w:ascii="Calibri" w:hAnsi="Calibri"/>
                <w:sz w:val="22"/>
              </w:rPr>
              <w:t>8-K filed Aug. 3, 2026 (event date: July 31, 2026). No financial guidance change; leadership uncertainty into H2 2026.</w:t>
            </w:r>
          </w:p>
        </w:tc>
      </w:tr>
    </w:tbl>
    <w:p>
      <w:r>
        <w:rPr>
          <w:rFonts w:ascii="Calibri" w:hAnsi="Calibri"/>
          <w:i/>
          <w:color w:val="525866"/>
          <w:sz w:val="22"/>
        </w:rPr>
        <w:t xml:space="preserve">Sources: </w:t>
      </w:r>
      <w:r>
        <w:rPr>
          <w:rFonts w:ascii="Calibri" w:hAnsi="Calibri"/>
          <w:i/>
          <w:color w:val="525866"/>
          <w:sz w:val="22"/>
        </w:rPr>
        <w:t>GWW Q1 2026 Earnings Call transcript (May 7, 2026); GWW 8-K filed August 3, 2026 (event date July 31,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tracked guidance directionally since the Q1 print, with Q2 EPS consensus rising ~1.3% and FY2026 EPS rising ~0.3% from the post-print baseline — a modest upward drift that suggests the Street is gradually gaining conviction in the demand inflection but has not yet fully priced in the top end of guidance.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Print (as of May 14, 2026)</w:t>
            </w:r>
          </w:p>
        </w:tc>
        <w:tc>
          <w:tcPr>
            <w:tcW w:type="dxa" w:w="1080"/>
            <w:shd w:val="clear" w:color="auto" w:fill="3B4259"/>
          </w:tcPr>
          <w:p>
            <w:r>
              <w:rPr>
                <w:rFonts w:ascii="Calibri" w:hAnsi="Calibri"/>
                <w:b/>
                <w:color w:val="FFFFFF"/>
                <w:sz w:val="22"/>
              </w:rPr>
              <w:t>Current Consensus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 May 7)</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$4.941B</w:t>
            </w:r>
          </w:p>
        </w:tc>
        <w:tc>
          <w:tcPr>
            <w:tcW w:type="dxa" w:w="1080"/>
          </w:tcPr>
          <w:p>
            <w:r>
              <w:rPr>
                <w:rFonts w:ascii="Calibri" w:hAnsi="Calibri"/>
                <w:sz w:val="22"/>
              </w:rPr>
              <w:t>$4.959B</w:t>
            </w:r>
          </w:p>
        </w:tc>
        <w:tc>
          <w:tcPr>
            <w:tcW w:type="dxa" w:w="1080"/>
          </w:tcPr>
          <w:p>
            <w:r>
              <w:rPr>
                <w:rFonts w:ascii="Calibri" w:hAnsi="Calibri"/>
                <w:sz w:val="22"/>
              </w:rPr>
              <w:t>+0.4%</w:t>
            </w:r>
          </w:p>
        </w:tc>
        <w:tc>
          <w:tcPr>
            <w:tcW w:type="dxa" w:w="1080"/>
          </w:tcPr>
          <w:p>
            <w:r>
              <w:rPr>
                <w:rFonts w:ascii="Calibri" w:hAnsi="Calibri"/>
                <w:sz w:val="22"/>
              </w:rPr>
              <w:t>&gt;$4.9B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+~1.2% above floor</w:t>
            </w:r>
          </w:p>
        </w:tc>
      </w:tr>
      <w:tr>
        <w:tc>
          <w:tcPr>
            <w:tcW w:type="dxa" w:w="1080"/>
          </w:tcPr>
          <w:p>
            <w:r>
              <w:rPr>
                <w:rFonts w:ascii="Calibri" w:hAnsi="Calibri"/>
                <w:sz w:val="22"/>
              </w:rPr>
              <w:t>Adj. EPS — Q2 2026</w:t>
            </w:r>
          </w:p>
        </w:tc>
        <w:tc>
          <w:tcPr>
            <w:tcW w:type="dxa" w:w="1080"/>
          </w:tcPr>
          <w:p>
            <w:r>
              <w:rPr>
                <w:rFonts w:ascii="Calibri" w:hAnsi="Calibri"/>
                <w:sz w:val="22"/>
              </w:rPr>
              <w:t>$11.14</w:t>
            </w:r>
          </w:p>
        </w:tc>
        <w:tc>
          <w:tcPr>
            <w:tcW w:type="dxa" w:w="1080"/>
          </w:tcPr>
          <w:p>
            <w:r>
              <w:rPr>
                <w:rFonts w:ascii="Calibri" w:hAnsi="Calibri"/>
                <w:sz w:val="22"/>
              </w:rPr>
              <w:t>$11.28</w:t>
            </w:r>
          </w:p>
        </w:tc>
        <w:tc>
          <w:tcPr>
            <w:tcW w:type="dxa" w:w="1080"/>
          </w:tcPr>
          <w:p>
            <w:r>
              <w:rPr>
                <w:rFonts w:ascii="Calibri" w:hAnsi="Calibri"/>
                <w:sz w:val="22"/>
              </w:rPr>
              <w:t>+1.3%</w:t>
            </w:r>
          </w:p>
        </w:tc>
        <w:tc>
          <w:tcPr>
            <w:tcW w:type="dxa" w:w="1080"/>
          </w:tcPr>
          <w:p>
            <w:r>
              <w:rPr>
                <w:rFonts w:ascii="Calibri" w:hAnsi="Calibri"/>
                <w:sz w:val="22"/>
              </w:rPr>
              <w:t>Implied by FY range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Within FY implied range</w:t>
            </w:r>
          </w:p>
        </w:tc>
      </w:tr>
      <w:tr>
        <w:tc>
          <w:tcPr>
            <w:tcW w:type="dxa" w:w="1080"/>
          </w:tcPr>
          <w:p>
            <w:r>
              <w:rPr>
                <w:rFonts w:ascii="Calibri" w:hAnsi="Calibri"/>
                <w:sz w:val="22"/>
              </w:rPr>
              <w:t>Daily Organic CC Growth — Q2 2026</w:t>
            </w:r>
          </w:p>
        </w:tc>
        <w:tc>
          <w:tcPr>
            <w:tcW w:type="dxa" w:w="1080"/>
          </w:tcPr>
          <w:p>
            <w:r>
              <w:rPr>
                <w:rFonts w:ascii="Calibri" w:hAnsi="Calibri"/>
                <w:sz w:val="22"/>
              </w:rPr>
              <w:t>~11.8%</w:t>
            </w:r>
          </w:p>
        </w:tc>
        <w:tc>
          <w:tcPr>
            <w:tcW w:type="dxa" w:w="1080"/>
          </w:tcPr>
          <w:p>
            <w:r>
              <w:rPr>
                <w:rFonts w:ascii="Calibri" w:hAnsi="Calibri"/>
                <w:sz w:val="22"/>
              </w:rPr>
              <w:t>~11.8%</w:t>
            </w:r>
          </w:p>
        </w:tc>
        <w:tc>
          <w:tcPr>
            <w:tcW w:type="dxa" w:w="1080"/>
          </w:tcPr>
          <w:p>
            <w:r>
              <w:rPr>
                <w:rFonts w:ascii="Calibri" w:hAnsi="Calibri"/>
                <w:sz w:val="22"/>
              </w:rPr>
              <w:t>Flat</w:t>
            </w:r>
          </w:p>
        </w:tc>
        <w:tc>
          <w:tcPr>
            <w:tcW w:type="dxa" w:w="1080"/>
          </w:tcPr>
          <w:p>
            <w:r>
              <w:rPr>
                <w:rFonts w:ascii="Calibri" w:hAnsi="Calibri"/>
                <w:sz w:val="22"/>
              </w:rPr>
              <w:t>~12% ("approaching 12%")</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~−20 bps below guide</w:t>
            </w:r>
          </w:p>
        </w:tc>
      </w:tr>
      <w:tr>
        <w:tc>
          <w:tcPr>
            <w:tcW w:type="dxa" w:w="1080"/>
          </w:tcPr>
          <w:p>
            <w:r>
              <w:rPr>
                <w:rFonts w:ascii="Calibri" w:hAnsi="Calibri"/>
                <w:sz w:val="22"/>
              </w:rPr>
              <w:t>Operating Margin — Q2 2026</w:t>
            </w:r>
          </w:p>
        </w:tc>
        <w:tc>
          <w:tcPr>
            <w:tcW w:type="dxa" w:w="1080"/>
          </w:tcPr>
          <w:p>
            <w:r>
              <w:rPr>
                <w:rFonts w:ascii="Calibri" w:hAnsi="Calibri"/>
                <w:sz w:val="22"/>
              </w:rPr>
              <w:t>~15.3%</w:t>
            </w:r>
          </w:p>
        </w:tc>
        <w:tc>
          <w:tcPr>
            <w:tcW w:type="dxa" w:w="1080"/>
          </w:tcPr>
          <w:p>
            <w:r>
              <w:rPr>
                <w:rFonts w:ascii="Calibri" w:hAnsi="Calibri"/>
                <w:sz w:val="22"/>
              </w:rPr>
              <w:t>~15.5%</w:t>
            </w:r>
          </w:p>
        </w:tc>
        <w:tc>
          <w:tcPr>
            <w:tcW w:type="dxa" w:w="1080"/>
          </w:tcPr>
          <w:p>
            <w:r>
              <w:rPr>
                <w:rFonts w:ascii="Calibri" w:hAnsi="Calibri"/>
                <w:sz w:val="22"/>
              </w:rPr>
              <w:t>+~20 bps</w:t>
            </w:r>
          </w:p>
        </w:tc>
        <w:tc>
          <w:tcPr>
            <w:tcW w:type="dxa" w:w="1080"/>
          </w:tcPr>
          <w:p>
            <w:r>
              <w:rPr>
                <w:rFonts w:ascii="Calibri" w:hAnsi="Calibri"/>
                <w:sz w:val="22"/>
              </w:rPr>
              <w:t>Low 15% range (~15.0–15.2%)</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+~30–50 bps above guide</w:t>
            </w:r>
          </w:p>
        </w:tc>
      </w:tr>
      <w:tr>
        <w:tc>
          <w:tcPr>
            <w:tcW w:type="dxa" w:w="1080"/>
          </w:tcPr>
          <w:p>
            <w:r>
              <w:rPr>
                <w:rFonts w:ascii="Calibri" w:hAnsi="Calibri"/>
                <w:sz w:val="22"/>
              </w:rPr>
              <w:t>Revenue — FY2026</w:t>
            </w:r>
          </w:p>
        </w:tc>
        <w:tc>
          <w:tcPr>
            <w:tcW w:type="dxa" w:w="1080"/>
          </w:tcPr>
          <w:p>
            <w:r>
              <w:rPr>
                <w:rFonts w:ascii="Calibri" w:hAnsi="Calibri"/>
                <w:sz w:val="22"/>
              </w:rPr>
              <w:t>$19.444B</w:t>
            </w:r>
          </w:p>
        </w:tc>
        <w:tc>
          <w:tcPr>
            <w:tcW w:type="dxa" w:w="1080"/>
          </w:tcPr>
          <w:p>
            <w:r>
              <w:rPr>
                <w:rFonts w:ascii="Calibri" w:hAnsi="Calibri"/>
                <w:sz w:val="22"/>
              </w:rPr>
              <w:t>$19.475B</w:t>
            </w:r>
          </w:p>
        </w:tc>
        <w:tc>
          <w:tcPr>
            <w:tcW w:type="dxa" w:w="1080"/>
          </w:tcPr>
          <w:p>
            <w:r>
              <w:rPr>
                <w:rFonts w:ascii="Calibri" w:hAnsi="Calibri"/>
                <w:sz w:val="22"/>
              </w:rPr>
              <w:t>+0.2%</w:t>
            </w:r>
          </w:p>
        </w:tc>
        <w:tc>
          <w:tcPr>
            <w:tcW w:type="dxa" w:w="1080"/>
          </w:tcPr>
          <w:p>
            <w:r>
              <w:rPr>
                <w:rFonts w:ascii="Calibri" w:hAnsi="Calibri"/>
                <w:sz w:val="22"/>
              </w:rPr>
              <w:t>Implied by 9.5%–12.0% CC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Near midpoint of implied range</w:t>
            </w:r>
          </w:p>
        </w:tc>
      </w:tr>
      <w:tr>
        <w:tc>
          <w:tcPr>
            <w:tcW w:type="dxa" w:w="1080"/>
          </w:tcPr>
          <w:p>
            <w:r>
              <w:rPr>
                <w:rFonts w:ascii="Calibri" w:hAnsi="Calibri"/>
                <w:sz w:val="22"/>
              </w:rPr>
              <w:t>Adj. EPS — FY2026</w:t>
            </w:r>
          </w:p>
        </w:tc>
        <w:tc>
          <w:tcPr>
            <w:tcW w:type="dxa" w:w="1080"/>
          </w:tcPr>
          <w:p>
            <w:r>
              <w:rPr>
                <w:rFonts w:ascii="Calibri" w:hAnsi="Calibri"/>
                <w:sz w:val="22"/>
              </w:rPr>
              <w:t>$45.55</w:t>
            </w:r>
          </w:p>
        </w:tc>
        <w:tc>
          <w:tcPr>
            <w:tcW w:type="dxa" w:w="1080"/>
          </w:tcPr>
          <w:p>
            <w:r>
              <w:rPr>
                <w:rFonts w:ascii="Calibri" w:hAnsi="Calibri"/>
                <w:sz w:val="22"/>
              </w:rPr>
              <w:t>$45.69</w:t>
            </w:r>
          </w:p>
        </w:tc>
        <w:tc>
          <w:tcPr>
            <w:tcW w:type="dxa" w:w="1080"/>
          </w:tcPr>
          <w:p>
            <w:r>
              <w:rPr>
                <w:rFonts w:ascii="Calibri" w:hAnsi="Calibri"/>
                <w:sz w:val="22"/>
              </w:rPr>
              <w:t>+0.3%</w:t>
            </w:r>
          </w:p>
        </w:tc>
        <w:tc>
          <w:tcPr>
            <w:tcW w:type="dxa" w:w="1080"/>
          </w:tcPr>
          <w:p>
            <w:r>
              <w:rPr>
                <w:rFonts w:ascii="Calibri" w:hAnsi="Calibri"/>
                <w:sz w:val="22"/>
              </w:rPr>
              <w:t>$44.25–$46.25 ($45.25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+~1.0% above midpoint</w:t>
            </w:r>
          </w:p>
        </w:tc>
      </w:tr>
    </w:tbl>
    <w:p>
      <w:r>
        <w:rPr>
          <w:rFonts w:ascii="Calibri" w:hAnsi="Calibri"/>
          <w:b/>
          <w:color w:val="525866"/>
          <w:sz w:val="22"/>
        </w:rPr>
        <w:t xml:space="preserve">Commentary: </w:t>
      </w:r>
      <w:r>
        <w:rPr>
          <w:rFonts w:ascii="Calibri" w:hAnsi="Calibri"/>
          <w:color w:val="525866"/>
          <w:sz w:val="22"/>
        </w:rPr>
        <w:t>The modest upward drift in estimates since the Q1 print reflects the Street gradually gaining confidence in the demand inflection, but the gap between consensus operating margin (~15.5%) and management's guided "low 15% range" is the key tension — if fuel and private-label headwinds are worse than expected, the Street's margin assumption is the most exposed line item.</w:t>
      </w:r>
    </w:p>
    <w:p>
      <w:r>
        <w:rPr>
          <w:rFonts w:ascii="Calibri" w:hAnsi="Calibri"/>
          <w:i/>
          <w:color w:val="525866"/>
          <w:sz w:val="22"/>
        </w:rPr>
        <w:t xml:space="preserve">Source: </w:t>
      </w:r>
      <w:r>
        <w:rPr>
          <w:rFonts w:ascii="Calibri" w:hAnsi="Calibri"/>
          <w:i/>
          <w:color w:val="525866"/>
          <w:sz w:val="22"/>
        </w:rPr>
        <w:t>Visible Alpha Consensus and Actuals Data; GWW Q1 2026 Earnings Call (May 7,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GWW's +11.6% gain since the Q1 print (vs. XLI +5.4% and S&amp;P 500 +3.6%) has been driven almost entirely by multiple expansion — NTM P/E re-rated from ~24.5x to ~28.5x — reflecting the market's repricing of the demand inflection narrative; with the multiple now at a ~27% premium to peers, further upside requires earnings delivery, not just sentiment.</w:t>
      </w:r>
    </w:p>
    <w:tbl>
      <w:tblPr>
        <w:tblStyle w:val="TableGrid"/>
        <w:tblW w:type="auto" w:w="0"/>
        <w:tblLook w:firstColumn="1" w:firstRow="1" w:lastColumn="0" w:lastRow="0" w:noHBand="0" w:noVBand="1" w:val="04A0"/>
      </w:tblPr>
      <w:tblGrid>
        <w:gridCol w:w="4320"/>
        <w:gridCol w:w="4320"/>
      </w:tblGrid>
      <w:tr>
        <w:tc>
          <w:tcPr>
            <w:tcW w:type="dxa" w:w="4320"/>
            <w:shd w:val="clear" w:color="auto" w:fill="3B4259"/>
          </w:tcPr>
          <w:p>
            <w:r>
              <w:rPr>
                <w:rFonts w:ascii="Calibri" w:hAnsi="Calibri"/>
                <w:b/>
                <w:color w:val="FFFFFF"/>
                <w:sz w:val="22"/>
              </w:rPr>
              <w:t>Metric</w:t>
            </w:r>
          </w:p>
        </w:tc>
        <w:tc>
          <w:tcPr>
            <w:tcW w:type="dxa" w:w="4320"/>
            <w:shd w:val="clear" w:color="auto" w:fill="3B4259"/>
          </w:tcPr>
          <w:p>
            <w:r>
              <w:rPr>
                <w:rFonts w:ascii="Calibri" w:hAnsi="Calibri"/>
                <w:b/>
                <w:color w:val="FFFFFF"/>
                <w:sz w:val="22"/>
              </w:rPr>
              <w:t>Value</w:t>
            </w:r>
          </w:p>
        </w:tc>
      </w:tr>
      <w:tr>
        <w:tc>
          <w:tcPr>
            <w:tcW w:type="dxa" w:w="4320"/>
          </w:tcPr>
          <w:p>
            <w:r>
              <w:rPr>
                <w:rFonts w:ascii="Calibri" w:hAnsi="Calibri"/>
                <w:sz w:val="22"/>
              </w:rPr>
              <w:t>GWW Price at Last Earnings (May 7, 2026)</w:t>
            </w:r>
          </w:p>
        </w:tc>
        <w:tc>
          <w:tcPr>
            <w:tcW w:type="dxa" w:w="4320"/>
          </w:tcPr>
          <w:p>
            <w:r>
              <w:rPr>
                <w:rFonts w:ascii="Calibri" w:hAnsi="Calibri"/>
                <w:sz w:val="22"/>
              </w:rPr>
              <w:t>$1,234.10</w:t>
            </w:r>
          </w:p>
        </w:tc>
      </w:tr>
      <w:tr>
        <w:tc>
          <w:tcPr>
            <w:tcW w:type="dxa" w:w="4320"/>
          </w:tcPr>
          <w:p>
            <w:r>
              <w:rPr>
                <w:rFonts w:ascii="Calibri" w:hAnsi="Calibri"/>
                <w:sz w:val="22"/>
              </w:rPr>
              <w:t>GWW Price (Aug. 4, 2026)</w:t>
            </w:r>
          </w:p>
        </w:tc>
        <w:tc>
          <w:tcPr>
            <w:tcW w:type="dxa" w:w="4320"/>
          </w:tcPr>
          <w:p>
            <w:r>
              <w:rPr>
                <w:rFonts w:ascii="Calibri" w:hAnsi="Calibri"/>
                <w:sz w:val="22"/>
              </w:rPr>
              <w:t>$1,371.25</w:t>
            </w:r>
          </w:p>
        </w:tc>
      </w:tr>
      <w:tr>
        <w:tc>
          <w:tcPr>
            <w:tcW w:type="dxa" w:w="4320"/>
          </w:tcPr>
          <w:p>
            <w:r>
              <w:rPr>
                <w:rFonts w:ascii="Calibri" w:hAnsi="Calibri"/>
                <w:sz w:val="22"/>
              </w:rPr>
              <w:t>GWW Return Since Last Earnings</w:t>
            </w:r>
          </w:p>
        </w:tc>
        <w:tc>
          <w:tcPr>
            <w:tcW w:type="dxa" w:w="4320"/>
          </w:tcPr>
          <w:p>
            <w:r>
              <w:rPr>
                <w:rFonts w:ascii="Calibri" w:hAnsi="Calibri"/>
                <w:sz w:val="22"/>
              </w:rPr>
              <w:t>+11.1%</w:t>
            </w:r>
          </w:p>
        </w:tc>
      </w:tr>
      <w:tr>
        <w:tc>
          <w:tcPr>
            <w:tcW w:type="dxa" w:w="4320"/>
          </w:tcPr>
          <w:p>
            <w:r>
              <w:rPr>
                <w:rFonts w:ascii="Calibri" w:hAnsi="Calibri"/>
                <w:sz w:val="22"/>
              </w:rPr>
              <w:t>XLI Return Since Last Earnings</w:t>
            </w:r>
          </w:p>
        </w:tc>
        <w:tc>
          <w:tcPr>
            <w:tcW w:type="dxa" w:w="4320"/>
          </w:tcPr>
          <w:p>
            <w:r>
              <w:rPr>
                <w:rFonts w:ascii="Calibri" w:hAnsi="Calibri"/>
                <w:sz w:val="22"/>
              </w:rPr>
              <w:t>+5.3% (from $174.00 to $183.16)</w:t>
            </w:r>
          </w:p>
        </w:tc>
      </w:tr>
      <w:tr>
        <w:tc>
          <w:tcPr>
            <w:tcW w:type="dxa" w:w="4320"/>
          </w:tcPr>
          <w:p>
            <w:r>
              <w:rPr>
                <w:rFonts w:ascii="Calibri" w:hAnsi="Calibri"/>
                <w:sz w:val="22"/>
              </w:rPr>
              <w:t>S&amp;P 500 (SPY) Return Since Last Earnings</w:t>
            </w:r>
          </w:p>
        </w:tc>
        <w:tc>
          <w:tcPr>
            <w:tcW w:type="dxa" w:w="4320"/>
          </w:tcPr>
          <w:p>
            <w:r>
              <w:rPr>
                <w:rFonts w:ascii="Calibri" w:hAnsi="Calibri"/>
                <w:sz w:val="22"/>
              </w:rPr>
              <w:t>+3.6% (from $731.58 to $757.67)</w:t>
            </w:r>
          </w:p>
        </w:tc>
      </w:tr>
      <w:tr>
        <w:tc>
          <w:tcPr>
            <w:tcW w:type="dxa" w:w="4320"/>
          </w:tcPr>
          <w:p>
            <w:r>
              <w:rPr>
                <w:rFonts w:ascii="Calibri" w:hAnsi="Calibri"/>
                <w:sz w:val="22"/>
              </w:rPr>
              <w:t>GWW Outperformance vs. XLI</w:t>
            </w:r>
          </w:p>
        </w:tc>
        <w:tc>
          <w:tcPr>
            <w:tcW w:type="dxa" w:w="4320"/>
          </w:tcPr>
          <w:p>
            <w:r>
              <w:rPr>
                <w:rFonts w:ascii="Calibri" w:hAnsi="Calibri"/>
                <w:sz w:val="22"/>
              </w:rPr>
              <w:t>+5.8 pp</w:t>
            </w:r>
          </w:p>
        </w:tc>
      </w:tr>
      <w:tr>
        <w:tc>
          <w:tcPr>
            <w:tcW w:type="dxa" w:w="4320"/>
          </w:tcPr>
          <w:p>
            <w:r>
              <w:rPr>
                <w:rFonts w:ascii="Calibri" w:hAnsi="Calibri"/>
                <w:sz w:val="22"/>
              </w:rPr>
              <w:t>GWW Outperformance vs. S&amp;P 500</w:t>
            </w:r>
          </w:p>
        </w:tc>
        <w:tc>
          <w:tcPr>
            <w:tcW w:type="dxa" w:w="4320"/>
          </w:tcPr>
          <w:p>
            <w:r>
              <w:rPr>
                <w:rFonts w:ascii="Calibri" w:hAnsi="Calibri"/>
                <w:sz w:val="22"/>
              </w:rPr>
              <w:t>+7.5 pp</w:t>
            </w:r>
          </w:p>
        </w:tc>
      </w:tr>
      <w:tr>
        <w:tc>
          <w:tcPr>
            <w:tcW w:type="dxa" w:w="4320"/>
          </w:tcPr>
          <w:p>
            <w:r>
              <w:rPr>
                <w:rFonts w:ascii="Calibri" w:hAnsi="Calibri"/>
                <w:sz w:val="22"/>
              </w:rPr>
              <w:t>NTM P/E at Last Earnings (~May 7)</w:t>
            </w:r>
          </w:p>
        </w:tc>
        <w:tc>
          <w:tcPr>
            <w:tcW w:type="dxa" w:w="4320"/>
          </w:tcPr>
          <w:p>
            <w:r>
              <w:rPr>
                <w:rFonts w:ascii="Calibri" w:hAnsi="Calibri"/>
                <w:sz w:val="22"/>
              </w:rPr>
              <w:t>~24.5x</w:t>
            </w:r>
          </w:p>
        </w:tc>
      </w:tr>
      <w:tr>
        <w:tc>
          <w:tcPr>
            <w:tcW w:type="dxa" w:w="4320"/>
          </w:tcPr>
          <w:p>
            <w:r>
              <w:rPr>
                <w:rFonts w:ascii="Calibri" w:hAnsi="Calibri"/>
                <w:sz w:val="22"/>
              </w:rPr>
              <w:t>NTM P/E Current (Aug. 4, 2026)</w:t>
            </w:r>
          </w:p>
        </w:tc>
        <w:tc>
          <w:tcPr>
            <w:tcW w:type="dxa" w:w="4320"/>
          </w:tcPr>
          <w:p>
            <w:r>
              <w:rPr>
                <w:rFonts w:ascii="Calibri" w:hAnsi="Calibri"/>
                <w:sz w:val="22"/>
              </w:rPr>
              <w:t>28.5x</w:t>
            </w:r>
          </w:p>
        </w:tc>
      </w:tr>
      <w:tr>
        <w:tc>
          <w:tcPr>
            <w:tcW w:type="dxa" w:w="4320"/>
          </w:tcPr>
          <w:p>
            <w:r>
              <w:rPr>
                <w:rFonts w:ascii="Calibri" w:hAnsi="Calibri"/>
                <w:sz w:val="22"/>
              </w:rPr>
              <w:t>NTM P/E Premium to Peer Group</w:t>
            </w:r>
          </w:p>
        </w:tc>
        <w:tc>
          <w:tcPr>
            <w:tcW w:type="dxa" w:w="4320"/>
          </w:tcPr>
          <w:p>
            <w:r>
              <w:rPr>
                <w:rFonts w:ascii="Calibri" w:hAnsi="Calibri"/>
                <w:sz w:val="22"/>
              </w:rPr>
              <w:t>+27.3% (peer avg. ~22.4x)</w:t>
            </w:r>
          </w:p>
        </w:tc>
      </w:tr>
      <w:tr>
        <w:tc>
          <w:tcPr>
            <w:tcW w:type="dxa" w:w="4320"/>
          </w:tcPr>
          <w:p>
            <w:r>
              <w:rPr>
                <w:rFonts w:ascii="Calibri" w:hAnsi="Calibri"/>
                <w:sz w:val="22"/>
              </w:rPr>
              <w:t>Sector ETF Used</w:t>
            </w:r>
          </w:p>
        </w:tc>
        <w:tc>
          <w:tcPr>
            <w:tcW w:type="dxa" w:w="4320"/>
          </w:tcPr>
          <w:p>
            <w:r>
              <w:rPr>
                <w:rFonts w:ascii="Calibri" w:hAnsi="Calibri"/>
                <w:sz w:val="22"/>
              </w:rPr>
              <w:t>XLI — Industrial Select Sector SPDR (appropriate for broad industrial distribution)</w:t>
            </w:r>
          </w:p>
        </w:tc>
      </w:tr>
    </w:tbl>
    <w:p>
      <w:r>
        <w:rPr>
          <w:rFonts w:ascii="Calibri" w:hAnsi="Calibri"/>
          <w:b/>
          <w:color w:val="525866"/>
          <w:sz w:val="22"/>
        </w:rPr>
        <w:t xml:space="preserve">Performance Narrative: </w:t>
      </w:r>
      <w:r>
        <w:rPr>
          <w:rFonts w:ascii="Calibri" w:hAnsi="Calibri"/>
          <w:color w:val="525866"/>
          <w:sz w:val="22"/>
        </w:rPr>
        <w:t>GWW's outperformance since the Q1 print has been driven by multiple expansion rather than earnings revisions alone. The NTM P/E expanded ~400 bps from ~24.5x to ~28.5x, accounting for the majority of the stock's gain. The stock peaked intraday near $1,402 on July 16 before pulling back ~2% into the print, suggesting some pre-earnings profit-taking. The CFO resignation announcement (8-K filed August 3, event date July 31) coincided with a modest pullback from the July 28 high of ~$1,399 to ~$1,371, though the broader market also softened. The stock's current premium to peers (27% on NTM P/E) is above its 1-year average premium of ~24%, indicating the market is pricing in continued execution on the demand inflection.</w:t>
      </w:r>
    </w:p>
    <w:p>
      <w:r>
        <w:rPr>
          <w:rFonts w:ascii="Calibri" w:hAnsi="Calibri"/>
          <w:i/>
          <w:color w:val="525866"/>
          <w:sz w:val="22"/>
        </w:rPr>
        <w:t xml:space="preserve">Source: </w:t>
      </w:r>
      <w:r>
        <w:rPr>
          <w:rFonts w:ascii="Calibri" w:hAnsi="Calibri"/>
          <w:i/>
          <w:color w:val="525866"/>
          <w:sz w:val="22"/>
        </w:rPr>
        <w:t>Stock Price Data (Yahoo Finance); GWW Stock Performance Decomposition Data.</w:t>
      </w:r>
    </w:p>
    <w:p>
      <w:pPr>
        <w:pStyle w:val="Heading3"/>
      </w:pPr>
      <w:r>
        <w:rPr>
          <w:rFonts w:ascii="Calibri" w:hAnsi="Calibri"/>
          <w:b/>
          <w:color w:val="3B4259"/>
          <w:sz w:val="24"/>
        </w:rPr>
        <w:t>Indexed Price Chart — GWW vs. XLI vs. S&amp;P 500 Since May 7, 2026 (Last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GWW (Indexed)</w:t>
            </w:r>
          </w:p>
        </w:tc>
        <w:tc>
          <w:tcPr>
            <w:tcW w:type="dxa" w:w="2160"/>
            <w:shd w:val="clear" w:color="auto" w:fill="3B4259"/>
          </w:tcPr>
          <w:p>
            <w:r>
              <w:rPr>
                <w:rFonts w:ascii="Calibri" w:hAnsi="Calibri"/>
                <w:b/>
                <w:color w:val="FFFFFF"/>
                <w:sz w:val="22"/>
              </w:rPr>
              <w:t>XLI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7, 2026 (Base = 100)</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14, 2026</w:t>
            </w:r>
          </w:p>
        </w:tc>
        <w:tc>
          <w:tcPr>
            <w:tcW w:type="dxa" w:w="2160"/>
          </w:tcPr>
          <w:p>
            <w:r>
              <w:rPr>
                <w:rFonts w:ascii="Calibri" w:hAnsi="Calibri"/>
                <w:sz w:val="22"/>
              </w:rPr>
              <w:t>104.1</w:t>
            </w:r>
          </w:p>
        </w:tc>
        <w:tc>
          <w:tcPr>
            <w:tcW w:type="dxa" w:w="2160"/>
          </w:tcPr>
          <w:p>
            <w:r>
              <w:rPr>
                <w:rFonts w:ascii="Calibri" w:hAnsi="Calibri"/>
                <w:sz w:val="22"/>
              </w:rPr>
              <w:t>100.3</w:t>
            </w:r>
          </w:p>
        </w:tc>
        <w:tc>
          <w:tcPr>
            <w:tcW w:type="dxa" w:w="2160"/>
          </w:tcPr>
          <w:p>
            <w:r>
              <w:rPr>
                <w:rFonts w:ascii="Calibri" w:hAnsi="Calibri"/>
                <w:sz w:val="22"/>
              </w:rPr>
              <w:t>102.3</w:t>
            </w:r>
          </w:p>
        </w:tc>
      </w:tr>
      <w:tr>
        <w:tc>
          <w:tcPr>
            <w:tcW w:type="dxa" w:w="2160"/>
          </w:tcPr>
          <w:p>
            <w:r>
              <w:rPr>
                <w:rFonts w:ascii="Calibri" w:hAnsi="Calibri"/>
                <w:sz w:val="22"/>
              </w:rPr>
              <w:t>May 29, 2026</w:t>
            </w:r>
          </w:p>
        </w:tc>
        <w:tc>
          <w:tcPr>
            <w:tcW w:type="dxa" w:w="2160"/>
          </w:tcPr>
          <w:p>
            <w:r>
              <w:rPr>
                <w:rFonts w:ascii="Calibri" w:hAnsi="Calibri"/>
                <w:sz w:val="22"/>
              </w:rPr>
              <w:t>100.0</w:t>
            </w:r>
          </w:p>
        </w:tc>
        <w:tc>
          <w:tcPr>
            <w:tcW w:type="dxa" w:w="2160"/>
          </w:tcPr>
          <w:p>
            <w:r>
              <w:rPr>
                <w:rFonts w:ascii="Calibri" w:hAnsi="Calibri"/>
                <w:sz w:val="22"/>
              </w:rPr>
              <w:t>99.5</w:t>
            </w:r>
          </w:p>
        </w:tc>
        <w:tc>
          <w:tcPr>
            <w:tcW w:type="dxa" w:w="2160"/>
          </w:tcPr>
          <w:p>
            <w:r>
              <w:rPr>
                <w:rFonts w:ascii="Calibri" w:hAnsi="Calibri"/>
                <w:sz w:val="22"/>
              </w:rPr>
              <w:t>103.4</w:t>
            </w:r>
          </w:p>
        </w:tc>
      </w:tr>
      <w:tr>
        <w:tc>
          <w:tcPr>
            <w:tcW w:type="dxa" w:w="2160"/>
          </w:tcPr>
          <w:p>
            <w:r>
              <w:rPr>
                <w:rFonts w:ascii="Calibri" w:hAnsi="Calibri"/>
                <w:sz w:val="22"/>
              </w:rPr>
              <w:t>Jun 18, 2026 (↑ GWW spike)</w:t>
            </w:r>
          </w:p>
        </w:tc>
        <w:tc>
          <w:tcPr>
            <w:tcW w:type="dxa" w:w="2160"/>
          </w:tcPr>
          <w:p>
            <w:r>
              <w:rPr>
                <w:rFonts w:ascii="Calibri" w:hAnsi="Calibri"/>
                <w:sz w:val="22"/>
              </w:rPr>
              <w:t>110.6</w:t>
            </w:r>
          </w:p>
        </w:tc>
        <w:tc>
          <w:tcPr>
            <w:tcW w:type="dxa" w:w="2160"/>
          </w:tcPr>
          <w:p>
            <w:r>
              <w:rPr>
                <w:rFonts w:ascii="Calibri" w:hAnsi="Calibri"/>
                <w:sz w:val="22"/>
              </w:rPr>
              <w:t>103.9</w:t>
            </w:r>
          </w:p>
        </w:tc>
        <w:tc>
          <w:tcPr>
            <w:tcW w:type="dxa" w:w="2160"/>
          </w:tcPr>
          <w:p>
            <w:r>
              <w:rPr>
                <w:rFonts w:ascii="Calibri" w:hAnsi="Calibri"/>
                <w:sz w:val="22"/>
              </w:rPr>
              <w:t>102.1</w:t>
            </w:r>
          </w:p>
        </w:tc>
      </w:tr>
      <w:tr>
        <w:tc>
          <w:tcPr>
            <w:tcW w:type="dxa" w:w="2160"/>
          </w:tcPr>
          <w:p>
            <w:r>
              <w:rPr>
                <w:rFonts w:ascii="Calibri" w:hAnsi="Calibri"/>
                <w:sz w:val="22"/>
              </w:rPr>
              <w:t>Jun 30, 2026</w:t>
            </w:r>
          </w:p>
        </w:tc>
        <w:tc>
          <w:tcPr>
            <w:tcW w:type="dxa" w:w="2160"/>
          </w:tcPr>
          <w:p>
            <w:r>
              <w:rPr>
                <w:rFonts w:ascii="Calibri" w:hAnsi="Calibri"/>
                <w:sz w:val="22"/>
              </w:rPr>
              <w:t>110.2</w:t>
            </w:r>
          </w:p>
        </w:tc>
        <w:tc>
          <w:tcPr>
            <w:tcW w:type="dxa" w:w="2160"/>
          </w:tcPr>
          <w:p>
            <w:r>
              <w:rPr>
                <w:rFonts w:ascii="Calibri" w:hAnsi="Calibri"/>
                <w:sz w:val="22"/>
              </w:rPr>
              <w:t>106.5</w:t>
            </w:r>
          </w:p>
        </w:tc>
        <w:tc>
          <w:tcPr>
            <w:tcW w:type="dxa" w:w="2160"/>
          </w:tcPr>
          <w:p>
            <w:r>
              <w:rPr>
                <w:rFonts w:ascii="Calibri" w:hAnsi="Calibri"/>
                <w:sz w:val="22"/>
              </w:rPr>
              <w:t>102.1</w:t>
            </w:r>
          </w:p>
        </w:tc>
      </w:tr>
      <w:tr>
        <w:tc>
          <w:tcPr>
            <w:tcW w:type="dxa" w:w="2160"/>
          </w:tcPr>
          <w:p>
            <w:r>
              <w:rPr>
                <w:rFonts w:ascii="Calibri" w:hAnsi="Calibri"/>
                <w:sz w:val="22"/>
              </w:rPr>
              <w:t>Jul 16, 2026 (GWW peak)</w:t>
            </w:r>
          </w:p>
        </w:tc>
        <w:tc>
          <w:tcPr>
            <w:tcW w:type="dxa" w:w="2160"/>
          </w:tcPr>
          <w:p>
            <w:r>
              <w:rPr>
                <w:rFonts w:ascii="Calibri" w:hAnsi="Calibri"/>
                <w:sz w:val="22"/>
              </w:rPr>
              <w:t>113.6</w:t>
            </w:r>
          </w:p>
        </w:tc>
        <w:tc>
          <w:tcPr>
            <w:tcW w:type="dxa" w:w="2160"/>
          </w:tcPr>
          <w:p>
            <w:r>
              <w:rPr>
                <w:rFonts w:ascii="Calibri" w:hAnsi="Calibri"/>
                <w:sz w:val="22"/>
              </w:rPr>
              <w:t>103.5</w:t>
            </w:r>
          </w:p>
        </w:tc>
        <w:tc>
          <w:tcPr>
            <w:tcW w:type="dxa" w:w="2160"/>
          </w:tcPr>
          <w:p>
            <w:r>
              <w:rPr>
                <w:rFonts w:ascii="Calibri" w:hAnsi="Calibri"/>
                <w:sz w:val="22"/>
              </w:rPr>
              <w:t>102.6</w:t>
            </w:r>
          </w:p>
        </w:tc>
      </w:tr>
      <w:tr>
        <w:tc>
          <w:tcPr>
            <w:tcW w:type="dxa" w:w="2160"/>
          </w:tcPr>
          <w:p>
            <w:r>
              <w:rPr>
                <w:rFonts w:ascii="Calibri" w:hAnsi="Calibri"/>
                <w:sz w:val="22"/>
              </w:rPr>
              <w:t>Jul 31, 2026 (CFO resignation event)</w:t>
            </w:r>
          </w:p>
        </w:tc>
        <w:tc>
          <w:tcPr>
            <w:tcW w:type="dxa" w:w="2160"/>
          </w:tcPr>
          <w:p>
            <w:r>
              <w:rPr>
                <w:rFonts w:ascii="Calibri" w:hAnsi="Calibri"/>
                <w:sz w:val="22"/>
              </w:rPr>
              <w:t>112.0</w:t>
            </w:r>
          </w:p>
        </w:tc>
        <w:tc>
          <w:tcPr>
            <w:tcW w:type="dxa" w:w="2160"/>
          </w:tcPr>
          <w:p>
            <w:r>
              <w:rPr>
                <w:rFonts w:ascii="Calibri" w:hAnsi="Calibri"/>
                <w:sz w:val="22"/>
              </w:rPr>
              <w:t>103.4</w:t>
            </w:r>
          </w:p>
        </w:tc>
        <w:tc>
          <w:tcPr>
            <w:tcW w:type="dxa" w:w="2160"/>
          </w:tcPr>
          <w:p>
            <w:r>
              <w:rPr>
                <w:rFonts w:ascii="Calibri" w:hAnsi="Calibri"/>
                <w:sz w:val="22"/>
              </w:rPr>
              <w:t>102.1</w:t>
            </w:r>
          </w:p>
        </w:tc>
      </w:tr>
      <w:tr>
        <w:tc>
          <w:tcPr>
            <w:tcW w:type="dxa" w:w="2160"/>
          </w:tcPr>
          <w:p>
            <w:r>
              <w:rPr>
                <w:rFonts w:ascii="Calibri" w:hAnsi="Calibri"/>
                <w:sz w:val="22"/>
              </w:rPr>
              <w:t>Aug 4, 2026 (Today / Pre-Earnings)</w:t>
            </w:r>
          </w:p>
        </w:tc>
        <w:tc>
          <w:tcPr>
            <w:tcW w:type="dxa" w:w="2160"/>
          </w:tcPr>
          <w:p>
            <w:r>
              <w:rPr>
                <w:rFonts w:ascii="Calibri" w:hAnsi="Calibri"/>
                <w:sz w:val="22"/>
              </w:rPr>
              <w:t>111.1</w:t>
            </w:r>
          </w:p>
        </w:tc>
        <w:tc>
          <w:tcPr>
            <w:tcW w:type="dxa" w:w="2160"/>
          </w:tcPr>
          <w:p>
            <w:r>
              <w:rPr>
                <w:rFonts w:ascii="Calibri" w:hAnsi="Calibri"/>
                <w:sz w:val="22"/>
              </w:rPr>
              <w:t>105.3</w:t>
            </w:r>
          </w:p>
        </w:tc>
        <w:tc>
          <w:tcPr>
            <w:tcW w:type="dxa" w:w="2160"/>
          </w:tcPr>
          <w:p>
            <w:r>
              <w:rPr>
                <w:rFonts w:ascii="Calibri" w:hAnsi="Calibri"/>
                <w:sz w:val="22"/>
              </w:rPr>
              <w:t>103.6</w:t>
            </w:r>
          </w:p>
        </w:tc>
      </w:tr>
    </w:tbl>
    <w:p>
      <w:r>
        <w:rPr>
          <w:rFonts w:ascii="Calibri" w:hAnsi="Calibri"/>
          <w:i/>
          <w:color w:val="525866"/>
          <w:sz w:val="22"/>
        </w:rPr>
        <w:t xml:space="preserve">Note: </w:t>
      </w:r>
      <w:r>
        <w:rPr>
          <w:rFonts w:ascii="Calibri" w:hAnsi="Calibri"/>
          <w:i/>
          <w:color w:val="525866"/>
          <w:sz w:val="22"/>
        </w:rPr>
        <w:t>Indexed to 100 at May 7, 2026 close. GWW: $1,234.10; XLI: $174.00; SPY: $731.58. Key event: CFO resignation 8-K filed Aug. 3, 2026 (event date July 31, 2026). Source: Stock Price Data (Yahoo Finance).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the Q1 print is the CFO departure (announced July 31), which introduces leadership uncertainty into the back half; the demand and pricing backdrop remains constructive, but fuel cost leakage and private-label FIFO timing are the key margin risks into the print.</w:t>
      </w:r>
    </w:p>
    <w:p>
      <w:pPr>
        <w:pStyle w:val="ListBullet"/>
        <w:ind w:left="360" w:hanging="360"/>
      </w:pPr>
      <w:r>
        <w:rPr>
          <w:rFonts w:ascii="Calibri" w:hAnsi="Calibri"/>
          <w:b/>
          <w:color w:val="525866"/>
          <w:sz w:val="22"/>
        </w:rPr>
        <w:t>Aug. 3, 2026 (event: July 31, 2026) — CFO Deidra Merriwether Resigns; Interim CFO Appointed.</w:t>
      </w:r>
      <w:r>
        <w:rPr>
          <w:rFonts w:ascii="Calibri" w:hAnsi="Calibri"/>
          <w:color w:val="525866"/>
          <w:sz w:val="22"/>
        </w:rPr>
        <w:t xml:space="preserve"> GWW filed an 8-K on August 3, 2026 disclosing that CFO Merriwether informed the Board of her resignation on July 31, 2026, effective September 4, 2026, to pursue another opportunity. VP &amp; Controller Laurie Thomson (18-year GWW veteran, CPA) was appointed interim CFO effective September 5, 2026; a permanent search is underway. Thomson's base salary increases from $455,271 to $500,000 and she receives a $750K RSU grant vesting over three years. </w:t>
      </w:r>
      <w:r>
        <w:rPr>
          <w:rFonts w:ascii="Calibri" w:hAnsi="Calibri"/>
          <w:b/>
          <w:color w:val="525866"/>
          <w:sz w:val="22"/>
        </w:rPr>
        <w:t>Implication:</w:t>
      </w:r>
      <w:r>
        <w:rPr>
          <w:rFonts w:ascii="Calibri" w:hAnsi="Calibri"/>
          <w:color w:val="525866"/>
          <w:sz w:val="22"/>
        </w:rPr>
        <w:t xml:space="preserve"> Leadership transition mid-cycle creates uncertainty around H2 2026 guidance execution and investor communication; Thomson's long tenure as Controller provides continuity, but the permanent search timeline is unknown. Source: GWW 8-K filed August 3, 2026.</w:t>
      </w:r>
    </w:p>
    <w:p>
      <w:pPr>
        <w:pStyle w:val="ListBullet"/>
        <w:ind w:left="360" w:hanging="360"/>
      </w:pPr>
      <w:r>
        <w:rPr>
          <w:rFonts w:ascii="Calibri" w:hAnsi="Calibri"/>
          <w:b/>
          <w:color w:val="525866"/>
          <w:sz w:val="22"/>
        </w:rPr>
        <w:t>May 7, 2026 — Q1 2026 Earnings Beat &amp; FY2026 Guidance Raised.</w:t>
      </w:r>
      <w:r>
        <w:rPr>
          <w:rFonts w:ascii="Calibri" w:hAnsi="Calibri"/>
          <w:color w:val="525866"/>
          <w:sz w:val="22"/>
        </w:rPr>
        <w:t xml:space="preserve"> GWW reported Q1 2026 adj. EPS of $11.65 vs. consensus of $10.19 (+14.3% beat) and revenue of $4.742B vs. consensus of $4.576B (+3.6% beat). Daily organic CC growth of 12.2% crushed the 7.7% consensus. FY2026 EPS guidance raised to $44.25–$46.25 ($1.75 improvement at midpoint). </w:t>
      </w:r>
      <w:r>
        <w:rPr>
          <w:rFonts w:ascii="Calibri" w:hAnsi="Calibri"/>
          <w:b/>
          <w:color w:val="525866"/>
          <w:sz w:val="22"/>
        </w:rPr>
        <w:t>Implication:</w:t>
      </w:r>
      <w:r>
        <w:rPr>
          <w:rFonts w:ascii="Calibri" w:hAnsi="Calibri"/>
          <w:color w:val="525866"/>
          <w:sz w:val="22"/>
        </w:rPr>
        <w:t xml:space="preserve"> Sets a high bar for Q2 and raises the risk of a "buy the rumor, sell the news" dynamic if Q2 merely meets the raised guide. Source: GWW Q1 2026 Earnings Release and Earnings Call (May 7, 2026).</w:t>
      </w:r>
    </w:p>
    <w:p>
      <w:pPr>
        <w:pStyle w:val="ListBullet"/>
        <w:ind w:left="360" w:hanging="360"/>
      </w:pPr>
      <w:r>
        <w:rPr>
          <w:rFonts w:ascii="Calibri" w:hAnsi="Calibri"/>
          <w:b/>
          <w:color w:val="525866"/>
          <w:sz w:val="22"/>
        </w:rPr>
        <w:t>May 7, 2026 — Q2 2026 Guidance Issued: Revenue &gt;$4.9B, Operating Margin "Low 15% Range."</w:t>
      </w:r>
      <w:r>
        <w:rPr>
          <w:rFonts w:ascii="Calibri" w:hAnsi="Calibri"/>
          <w:color w:val="525866"/>
          <w:sz w:val="22"/>
        </w:rPr>
        <w:t xml:space="preserve"> Management guided Q2 daily organic CC growth "approaching 12%" (330 bps lower on a reported basis after normalizing for UK exit and FX). Preliminary April daily organic CC growth was "north of 13%." Operating margin guided to "low 15% range" due to normal seasonality, private-label FIFO cost drag (~20 bps), and fuel cost leakage. </w:t>
      </w:r>
      <w:r>
        <w:rPr>
          <w:rFonts w:ascii="Calibri" w:hAnsi="Calibri"/>
          <w:b/>
          <w:color w:val="525866"/>
          <w:sz w:val="22"/>
        </w:rPr>
        <w:t>Implication:</w:t>
      </w:r>
      <w:r>
        <w:rPr>
          <w:rFonts w:ascii="Calibri" w:hAnsi="Calibri"/>
          <w:color w:val="525866"/>
          <w:sz w:val="22"/>
        </w:rPr>
        <w:t xml:space="preserve"> Consensus at ~15.5% operating margin is ~50 bps above the guided range — the Street is more optimistic than management, creating downside risk if headwinds materialize at the high end. Source: GWW Q1 2026 Earnings Call (May 7, 2026).</w:t>
      </w:r>
    </w:p>
    <w:p>
      <w:pPr>
        <w:pStyle w:val="ListBullet"/>
        <w:ind w:left="360" w:hanging="360"/>
      </w:pPr>
      <w:r>
        <w:rPr>
          <w:rFonts w:ascii="Calibri" w:hAnsi="Calibri"/>
          <w:b/>
          <w:color w:val="525866"/>
          <w:sz w:val="22"/>
        </w:rPr>
        <w:t>May 7, 2026 — Fifty-Fifth Consecutive Annual Dividend Increase Announced.</w:t>
      </w:r>
      <w:r>
        <w:rPr>
          <w:rFonts w:ascii="Calibri" w:hAnsi="Calibri"/>
          <w:color w:val="525866"/>
          <w:sz w:val="22"/>
        </w:rPr>
        <w:t xml:space="preserve"> GWW announced its 55th consecutive annual dividend increase, reinforcing capital return commitment. </w:t>
      </w:r>
      <w:r>
        <w:rPr>
          <w:rFonts w:ascii="Calibri" w:hAnsi="Calibri"/>
          <w:b/>
          <w:color w:val="525866"/>
          <w:sz w:val="22"/>
        </w:rPr>
        <w:t>Implication:</w:t>
      </w:r>
      <w:r>
        <w:rPr>
          <w:rFonts w:ascii="Calibri" w:hAnsi="Calibri"/>
          <w:color w:val="525866"/>
          <w:sz w:val="22"/>
        </w:rPr>
        <w:t xml:space="preserve"> Signals management confidence in cash generation; no financial impact on near-term earnings. Source: GWW Q1 2026 Earnings Release (May 7, 2026).</w:t>
      </w:r>
    </w:p>
    <w:p>
      <w:pPr>
        <w:pStyle w:val="ListBullet"/>
        <w:ind w:left="360" w:hanging="360"/>
      </w:pPr>
      <w:r>
        <w:rPr>
          <w:rFonts w:ascii="Calibri" w:hAnsi="Calibri"/>
          <w:b/>
          <w:color w:val="525866"/>
          <w:sz w:val="22"/>
        </w:rPr>
        <w:t>May 1, 2026 — Shareholders Approve All Proposals at Annual Meeting.</w:t>
      </w:r>
      <w:r>
        <w:rPr>
          <w:rFonts w:ascii="Calibri" w:hAnsi="Calibri"/>
          <w:color w:val="525866"/>
          <w:sz w:val="22"/>
        </w:rPr>
        <w:t xml:space="preserve"> GWW 8-K filed May 1, 2026 confirmed shareholder approval of all proposals at the annual meeting. </w:t>
      </w:r>
      <w:r>
        <w:rPr>
          <w:rFonts w:ascii="Calibri" w:hAnsi="Calibri"/>
          <w:b/>
          <w:color w:val="525866"/>
          <w:sz w:val="22"/>
        </w:rPr>
        <w:t>Implication:</w:t>
      </w:r>
      <w:r>
        <w:rPr>
          <w:rFonts w:ascii="Calibri" w:hAnsi="Calibri"/>
          <w:color w:val="525866"/>
          <w:sz w:val="22"/>
        </w:rPr>
        <w:t xml:space="preserve"> Routine governance; no material financial impact. Source: GWW 8-K filed May 1, 2026.</w:t>
      </w:r>
    </w:p>
    <w:p>
      <w:pPr>
        <w:pStyle w:val="ListBullet"/>
        <w:ind w:left="360" w:hanging="360"/>
      </w:pPr>
      <w:r>
        <w:rPr>
          <w:rFonts w:ascii="Calibri" w:hAnsi="Calibri"/>
          <w:b/>
          <w:color w:val="525866"/>
          <w:sz w:val="22"/>
        </w:rPr>
        <w:t>Ongoing — Tariff Policy Transition: IEEPA → Section 122/232 Framework.</w:t>
      </w:r>
      <w:r>
        <w:rPr>
          <w:rFonts w:ascii="Calibri" w:hAnsi="Calibri"/>
          <w:color w:val="525866"/>
          <w:sz w:val="22"/>
        </w:rPr>
        <w:t xml:space="preserve"> May 2026 pricing actions were "net neutral in total" — modest reductions on directly imported private-label products offset by Section 122 adjustments. Section 232 modifications still being assessed; initial analysis suggests "likely minimal" impact. GWW is also monitoring potential recovery of previously paid IEEPA tariffs where it is the importer of record, though timing and magnitude remain uncertain. </w:t>
      </w:r>
      <w:r>
        <w:rPr>
          <w:rFonts w:ascii="Calibri" w:hAnsi="Calibri"/>
          <w:b/>
          <w:color w:val="525866"/>
          <w:sz w:val="22"/>
        </w:rPr>
        <w:t>Implication:</w:t>
      </w:r>
      <w:r>
        <w:rPr>
          <w:rFonts w:ascii="Calibri" w:hAnsi="Calibri"/>
          <w:color w:val="525866"/>
          <w:sz w:val="22"/>
        </w:rPr>
        <w:t xml:space="preserve"> Tariff framework is stabilizing but not fully resolved; any adverse Section 232 ruling or failure to recover IEEPA tariffs would be incremental headwinds. Source: GWW Q1 2026 Earnings Call (May 7, 2026).</w:t>
      </w:r>
    </w:p>
    <w:p>
      <w:pPr>
        <w:pStyle w:val="ListBullet"/>
        <w:ind w:left="360" w:hanging="360"/>
      </w:pPr>
      <w:r>
        <w:rPr>
          <w:rFonts w:ascii="Calibri" w:hAnsi="Calibri"/>
          <w:b/>
          <w:color w:val="525866"/>
          <w:sz w:val="22"/>
        </w:rPr>
        <w:t>Ongoing — Middle East Conflict: Fuel Cost Leakage and Supply Pressure.</w:t>
      </w:r>
      <w:r>
        <w:rPr>
          <w:rFonts w:ascii="Calibri" w:hAnsi="Calibri"/>
          <w:color w:val="525866"/>
          <w:sz w:val="22"/>
        </w:rPr>
        <w:t xml:space="preserve"> Diesel prices remain elevated, creating cost leakage on large-customer free-shipping contracts that cannot be immediately passed through. Supply pressure on nitrile-based gloves and petroleum-based products is emerging, with Japan/MonotaRO more exposed given reliance on energy inputs through the Strait of Hormuz. </w:t>
      </w:r>
      <w:r>
        <w:rPr>
          <w:rFonts w:ascii="Calibri" w:hAnsi="Calibri"/>
          <w:b/>
          <w:color w:val="525866"/>
          <w:sz w:val="22"/>
        </w:rPr>
        <w:t>Implication:</w:t>
      </w:r>
      <w:r>
        <w:rPr>
          <w:rFonts w:ascii="Calibri" w:hAnsi="Calibri"/>
          <w:color w:val="525866"/>
          <w:sz w:val="22"/>
        </w:rPr>
        <w:t xml:space="preserve"> If the conflict persists or escalates, incremental cost pressure could weigh on H2 2026 margins beyond what is currently in guidance. Source: GWW Q1 2026 Earnings Call (May 7, 2026).</w:t>
      </w:r>
    </w:p>
    <w:p>
      <w:pPr>
        <w:pStyle w:val="ListBullet"/>
        <w:ind w:left="360" w:hanging="360"/>
      </w:pPr>
      <w:r>
        <w:rPr>
          <w:rFonts w:ascii="Calibri" w:hAnsi="Calibri"/>
          <w:b/>
          <w:color w:val="525866"/>
          <w:sz w:val="22"/>
        </w:rPr>
        <w:t>Ongoing — UK Market Exit (Cromwell Sale, Zoro UK).</w:t>
      </w:r>
      <w:r>
        <w:rPr>
          <w:rFonts w:ascii="Calibri" w:hAnsi="Calibri"/>
          <w:color w:val="525866"/>
          <w:sz w:val="22"/>
        </w:rPr>
        <w:t xml:space="preserve"> GWW exited the UK market (Cromwell sale and Zoro UK closure), reflecting a post-Brexit strategic refocus on North America and Japan. The UK exit creates a ~330 bps headwind to reported Q2 growth vs. organic CC growth. </w:t>
      </w:r>
      <w:r>
        <w:rPr>
          <w:rFonts w:ascii="Calibri" w:hAnsi="Calibri"/>
          <w:b/>
          <w:color w:val="525866"/>
          <w:sz w:val="22"/>
        </w:rPr>
        <w:t>Implication:</w:t>
      </w:r>
      <w:r>
        <w:rPr>
          <w:rFonts w:ascii="Calibri" w:hAnsi="Calibri"/>
          <w:color w:val="525866"/>
          <w:sz w:val="22"/>
        </w:rPr>
        <w:t xml:space="preserve"> Reported revenue growth will understate underlying business momentum; investors should focus on organic CC growth as the primary top-line metric. Source: GWW Q1 2026 Earnings Call (May 7, 2026).</w:t>
      </w:r>
    </w:p>
    <w:p>
      <w:r>
        <w:br w:type="page"/>
      </w:r>
    </w:p>
    <w:p>
      <w:pPr>
        <w:pStyle w:val="Heading2"/>
      </w:pPr>
      <w:r>
        <w:rPr>
          <w:rFonts w:ascii="Calibri" w:hAnsi="Calibri"/>
          <w:b/>
          <w:color w:val="3B4259"/>
          <w:sz w:val="28"/>
        </w:rPr>
        <w:t>7. Peer Commentaries — Last 60 Days</w:t>
      </w:r>
    </w:p>
    <w:p>
      <w:r>
        <w:rPr>
          <w:rFonts w:ascii="Calibri" w:hAnsi="Calibri"/>
          <w:b/>
          <w:color w:val="525866"/>
          <w:sz w:val="22"/>
        </w:rPr>
        <w:t xml:space="preserve">Key Takeaway: </w:t>
      </w:r>
      <w:r>
        <w:rPr>
          <w:rFonts w:ascii="Calibri" w:hAnsi="Calibri"/>
          <w:color w:val="525866"/>
          <w:sz w:val="22"/>
        </w:rPr>
        <w:t>Peer commentary from the last 60 days is broadly constructive for GWW's Q2 2026 — Fastenal's Q2 2026 call (July 14) confirmed stable-to-positive industrial demand and solid manufacturing/construction activity during the April–June period; Wesco's Q2 2026 call (July 30) raised full-year guidance and flagged mid-teens July sales growth, pointing to sustained demand momentum into Q3; MSM's fiscal Q3 2026 call (July 1) confirmed volume improvement across all customer types through June and an industrial recovery in its "third inning." The key caveat: none of these peers report on the exact same calendar quarter as GWW's Q2 2026 (April–June), and company-specific factors (MSM's sales force restructuring, Wesco's data center mix, Fastenal's FMI technology) limit direct read-through.</w:t>
      </w:r>
    </w:p>
    <w:p>
      <w:r>
        <w:rPr>
          <w:rFonts w:ascii="Calibri" w:hAnsi="Calibri"/>
          <w:b/>
          <w:i/>
          <w:color w:val="525866"/>
          <w:sz w:val="22"/>
        </w:rPr>
        <w:t xml:space="preserve">Methodology Note: </w:t>
      </w:r>
      <w:r>
        <w:rPr>
          <w:rFonts w:ascii="Calibri" w:hAnsi="Calibri"/>
          <w:i/>
          <w:color w:val="525866"/>
          <w:sz w:val="22"/>
        </w:rPr>
        <w:t>Only forward-looking or in-quarter trend commentary about the current unreported period is included below. Retrospective discussion of peers' just-reported results is excluded. Each entry identifies the peer's reference period and the relevance/limits to GWW Q2 2026.</w:t>
      </w:r>
    </w:p>
    <w:p>
      <w:pPr>
        <w:pStyle w:val="Heading3"/>
      </w:pPr>
      <w:r>
        <w:rPr>
          <w:rFonts w:ascii="Calibri" w:hAnsi="Calibri"/>
          <w:b/>
          <w:color w:val="3B4259"/>
          <w:sz w:val="24"/>
        </w:rPr>
        <w:t>Fastenal (FAST) — Q2 2026 Earnings Call (July 14, 2026)</w:t>
      </w:r>
    </w:p>
    <w:p>
      <w:r>
        <w:rPr>
          <w:rFonts w:ascii="Calibri" w:hAnsi="Calibri"/>
          <w:b/>
          <w:color w:val="525866"/>
          <w:sz w:val="22"/>
        </w:rPr>
        <w:t xml:space="preserve">Peer Reference Period: </w:t>
      </w:r>
      <w:r>
        <w:rPr>
          <w:rFonts w:ascii="Calibri" w:hAnsi="Calibri"/>
          <w:color w:val="525866"/>
          <w:sz w:val="22"/>
        </w:rPr>
        <w:t>FAST Q2 2026 (April–June 2026) — same calendar quarter as GWW Q2 2026. Commentary on Q3 2026 outlook is forward-looking relative to GWW's current unreported period.</w:t>
      </w:r>
    </w:p>
    <w:p>
      <w:r>
        <w:rPr>
          <w:rFonts w:ascii="Calibri" w:hAnsi="Calibri"/>
          <w:b/>
          <w:color w:val="525866"/>
          <w:sz w:val="22"/>
        </w:rPr>
        <w:t xml:space="preserve">Relevance to GWW Q2 2026: </w:t>
      </w:r>
      <w:r>
        <w:rPr>
          <w:rFonts w:ascii="Calibri" w:hAnsi="Calibri"/>
          <w:color w:val="525866"/>
          <w:sz w:val="22"/>
        </w:rPr>
        <w:t>High. Fastenal is a direct MRO/industrial distribution peer operating in the same calendar quarter. Its observations on industrial end-market conditions, pricing, and gross margin dynamics during April–June 2026 are the most directly comparable read-through available.</w:t>
      </w:r>
    </w:p>
    <w:p>
      <w:pPr>
        <w:pStyle w:val="ListBullet"/>
        <w:ind w:left="360" w:hanging="360"/>
      </w:pPr>
      <w:r>
        <w:rPr>
          <w:rFonts w:ascii="Calibri" w:hAnsi="Calibri"/>
          <w:b/>
          <w:color w:val="525866"/>
          <w:sz w:val="22"/>
        </w:rPr>
        <w:t xml:space="preserve">Demand/Volumes (April–June 2026): </w:t>
      </w:r>
      <w:r>
        <w:rPr>
          <w:rFonts w:ascii="Calibri" w:hAnsi="Calibri"/>
          <w:color w:val="525866"/>
          <w:sz w:val="22"/>
        </w:rPr>
        <w:t xml:space="preserve">"Overall demand conditions were stable to modestly positive" (CFO Max Tunnicliff). U.S. PMI averaged slightly above 53 for Q2, up from 52 in Q1; industrial production was slightly positive YoY in April and May. Manufacturing activity "remains solid, led by heavy manufacturing." Construction grew approximately 17% for the second consecutive quarter, with electrical utility infrastructure and data center activity among the strongest areas. Non-manufacturing end markets (transportation, warehousing, industrial services) also contributed. </w:t>
      </w:r>
      <w:r>
        <w:rPr>
          <w:rFonts w:ascii="Calibri" w:hAnsi="Calibri"/>
          <w:b/>
          <w:color w:val="525866"/>
          <w:sz w:val="22"/>
        </w:rPr>
        <w:t>GWW Read-Through:</w:t>
      </w:r>
      <w:r>
        <w:rPr>
          <w:rFonts w:ascii="Calibri" w:hAnsi="Calibri"/>
          <w:color w:val="525866"/>
          <w:sz w:val="22"/>
        </w:rPr>
        <w:t xml:space="preserve"> Positive — the macro backdrop (PMI &gt;53, positive IP, solid manufacturing) aligns with GWW's own Q1 commentary about broad-based demand acceleration and supports the view that Q2 demand held up. Source: FAST Q2 2026 Earnings Call (July 14, 2026).</w:t>
      </w:r>
    </w:p>
    <w:p>
      <w:pPr>
        <w:pStyle w:val="ListBullet"/>
        <w:ind w:left="360" w:hanging="360"/>
      </w:pPr>
      <w:r>
        <w:rPr>
          <w:rFonts w:ascii="Calibri" w:hAnsi="Calibri"/>
          <w:b/>
          <w:color w:val="525866"/>
          <w:sz w:val="22"/>
        </w:rPr>
        <w:t xml:space="preserve">Pricing/Inflation (April–June 2026 and H2 2026 Outlook): </w:t>
      </w:r>
      <w:r>
        <w:rPr>
          <w:rFonts w:ascii="Calibri" w:hAnsi="Calibri"/>
          <w:color w:val="525866"/>
          <w:sz w:val="22"/>
        </w:rPr>
        <w:t xml:space="preserve">Fastenal faces a ~40 bps price-cost headwind in Q2 and expects to "keep chipping away" but does not expect the gap to be fully closed in H2 2026. Back-half pricing expected in the "low singles, maybe even as high as mid singles." Management maintains an "ongoing focus on price neutrality." </w:t>
      </w:r>
      <w:r>
        <w:rPr>
          <w:rFonts w:ascii="Calibri" w:hAnsi="Calibri"/>
          <w:b/>
          <w:color w:val="525866"/>
          <w:sz w:val="22"/>
        </w:rPr>
        <w:t>GWW Read-Through:</w:t>
      </w:r>
      <w:r>
        <w:rPr>
          <w:rFonts w:ascii="Calibri" w:hAnsi="Calibri"/>
          <w:color w:val="525866"/>
          <w:sz w:val="22"/>
        </w:rPr>
        <w:t xml:space="preserve"> Moderately relevant — GWW's May pricing actions were "net neutral in total," consistent with FAST's measured approach. Both companies face ongoing cost inflation but are managing toward price neutrality rather than aggressive pass-through. Source: FAST Q2 2026 Earnings Call (July 14, 2026).</w:t>
      </w:r>
    </w:p>
    <w:p>
      <w:pPr>
        <w:pStyle w:val="ListBullet"/>
        <w:ind w:left="360" w:hanging="360"/>
      </w:pPr>
      <w:r>
        <w:rPr>
          <w:rFonts w:ascii="Calibri" w:hAnsi="Calibri"/>
          <w:b/>
          <w:color w:val="525866"/>
          <w:sz w:val="22"/>
        </w:rPr>
        <w:t xml:space="preserve">Gross Margin (Q3 2026 Outlook — Forward-Looking): </w:t>
      </w:r>
      <w:r>
        <w:rPr>
          <w:rFonts w:ascii="Calibri" w:hAnsi="Calibri"/>
          <w:color w:val="525866"/>
          <w:sz w:val="22"/>
        </w:rPr>
        <w:t xml:space="preserve">FAST guided Q3 2026 gross margin to follow "historical trends" with a sequential decline of "between 10 and 20 bps" from Q2 to Q3, driven by customer mix shift toward larger accounts. Incremental margins of 21.5% in Q2 are hoped to be the "low point," with improvement expected toward "mid-20s" over time. </w:t>
      </w:r>
      <w:r>
        <w:rPr>
          <w:rFonts w:ascii="Calibri" w:hAnsi="Calibri"/>
          <w:b/>
          <w:color w:val="525866"/>
          <w:sz w:val="22"/>
        </w:rPr>
        <w:t>GWW Read-Through:</w:t>
      </w:r>
      <w:r>
        <w:rPr>
          <w:rFonts w:ascii="Calibri" w:hAnsi="Calibri"/>
          <w:color w:val="525866"/>
          <w:sz w:val="22"/>
        </w:rPr>
        <w:t xml:space="preserve"> Directionally relevant for GWW's Q3 2026 outlook, but limited for Q2 specifically. The customer mix dynamic (larger accounts = lower gross margin %) is a shared industry dynamic. Source: FAST Q2 2026 Earnings Call (July 14, 2026).</w:t>
      </w:r>
    </w:p>
    <w:p>
      <w:pPr>
        <w:pStyle w:val="ListBullet"/>
        <w:ind w:left="360" w:hanging="360"/>
      </w:pPr>
      <w:r>
        <w:rPr>
          <w:rFonts w:ascii="Calibri" w:hAnsi="Calibri"/>
          <w:b/>
          <w:color w:val="525866"/>
          <w:sz w:val="22"/>
        </w:rPr>
        <w:t xml:space="preserve">Leading Indicators for Q3 2026 (Forward-Looking): </w:t>
      </w:r>
      <w:r>
        <w:rPr>
          <w:rFonts w:ascii="Calibri" w:hAnsi="Calibri"/>
          <w:color w:val="525866"/>
          <w:sz w:val="22"/>
        </w:rPr>
        <w:t xml:space="preserve">FMI technology signings were up 8.3% at 109 weighted devices per day in Q2 — described as a "leading indicator" for next quarter's sales. June sales "shocked" management to the upside due to one-off orders and faster new business ramp. Non-contract customer sales growth is "double what it was 12 months ago." Run rate on a 30-day basis implies a "$10 billion company." </w:t>
      </w:r>
      <w:r>
        <w:rPr>
          <w:rFonts w:ascii="Calibri" w:hAnsi="Calibri"/>
          <w:b/>
          <w:color w:val="525866"/>
          <w:sz w:val="22"/>
        </w:rPr>
        <w:t>GWW Read-Through:</w:t>
      </w:r>
      <w:r>
        <w:rPr>
          <w:rFonts w:ascii="Calibri" w:hAnsi="Calibri"/>
          <w:color w:val="525866"/>
          <w:sz w:val="22"/>
        </w:rPr>
        <w:t xml:space="preserve"> Positive signal for the broader industrial distribution demand environment heading into Q3 2026, which is GWW's next reporting period. Source: FAST Q2 2026 Earnings Call (July 14, 2026).</w:t>
      </w:r>
    </w:p>
    <w:p>
      <w:pPr>
        <w:pStyle w:val="ListBullet"/>
        <w:ind w:left="360" w:hanging="360"/>
      </w:pPr>
      <w:r>
        <w:rPr>
          <w:rFonts w:ascii="Calibri" w:hAnsi="Calibri"/>
          <w:b/>
          <w:color w:val="525866"/>
          <w:sz w:val="22"/>
        </w:rPr>
        <w:t xml:space="preserve">Limits to Read-Through: </w:t>
      </w:r>
      <w:r>
        <w:rPr>
          <w:rFonts w:ascii="Calibri" w:hAnsi="Calibri"/>
          <w:color w:val="525866"/>
          <w:sz w:val="22"/>
        </w:rPr>
        <w:t>Fastenal's business model (fastener-heavy, vending/FMI-centric, smaller average customer) differs from GWW's broad-line MRO model. FAST's price-cost headwind (~40 bps) is larger than GWW's, reflecting different product mix and contract structures. FAST's gross margin strategy (targeting 40–41% range) is not directly comparable to GWW's ~39% Q2 guided gross margin.</w:t>
      </w:r>
    </w:p>
    <w:p>
      <w:pPr>
        <w:pStyle w:val="Heading3"/>
      </w:pPr>
      <w:r>
        <w:rPr>
          <w:rFonts w:ascii="Calibri" w:hAnsi="Calibri"/>
          <w:b/>
          <w:color w:val="3B4259"/>
          <w:sz w:val="24"/>
        </w:rPr>
        <w:t>Wesco International (WCC) — Q2 2026 Earnings Call (July 30, 2026)</w:t>
      </w:r>
    </w:p>
    <w:p>
      <w:r>
        <w:rPr>
          <w:rFonts w:ascii="Calibri" w:hAnsi="Calibri"/>
          <w:b/>
          <w:color w:val="525866"/>
          <w:sz w:val="22"/>
        </w:rPr>
        <w:t xml:space="preserve">Peer Reference Period: </w:t>
      </w:r>
      <w:r>
        <w:rPr>
          <w:rFonts w:ascii="Calibri" w:hAnsi="Calibri"/>
          <w:color w:val="525866"/>
          <w:sz w:val="22"/>
        </w:rPr>
        <w:t>WCC Q2 2026 (April–June 2026) — same calendar quarter as GWW Q2 2026. Forward-looking commentary covers Q3 2026 (July–September) and full-year 2026.</w:t>
      </w:r>
    </w:p>
    <w:p>
      <w:r>
        <w:rPr>
          <w:rFonts w:ascii="Calibri" w:hAnsi="Calibri"/>
          <w:b/>
          <w:color w:val="525866"/>
          <w:sz w:val="22"/>
        </w:rPr>
        <w:t xml:space="preserve">Relevance to GWW Q2 2026: </w:t>
      </w:r>
      <w:r>
        <w:rPr>
          <w:rFonts w:ascii="Calibri" w:hAnsi="Calibri"/>
          <w:color w:val="525866"/>
          <w:sz w:val="22"/>
        </w:rPr>
        <w:t>Moderate-to-High. Wesco is a large industrial/electrical distributor with significant overlap in industrial, construction, and infrastructure end markets. Its Q2 2026 observations and Q3 2026 outlook provide a strong read on the demand environment GWW would have experienced in Q2 and is likely to see in Q3.</w:t>
      </w:r>
    </w:p>
    <w:p>
      <w:pPr>
        <w:pStyle w:val="ListBullet"/>
        <w:ind w:left="360" w:hanging="360"/>
      </w:pPr>
      <w:r>
        <w:rPr>
          <w:rFonts w:ascii="Calibri" w:hAnsi="Calibri"/>
          <w:b/>
          <w:color w:val="525866"/>
          <w:sz w:val="22"/>
        </w:rPr>
        <w:t xml:space="preserve">Q3 2026 Demand Outlook (Forward-Looking — Most Relevant): </w:t>
      </w:r>
      <w:r>
        <w:rPr>
          <w:rFonts w:ascii="Calibri" w:hAnsi="Calibri"/>
          <w:color w:val="525866"/>
          <w:sz w:val="22"/>
        </w:rPr>
        <w:t xml:space="preserve">"We continue to see favorable demand trends across the business to start the third quarter, with preliminary July month-to-date sales per workday up approximately mid-teens on a percentage basis" (CFO Neel Dev). Full Q3 2026 expected to grow "low double digits year over year" based on current customer forecasts. </w:t>
      </w:r>
      <w:r>
        <w:rPr>
          <w:rFonts w:ascii="Calibri" w:hAnsi="Calibri"/>
          <w:b/>
          <w:color w:val="525866"/>
          <w:sz w:val="22"/>
        </w:rPr>
        <w:t>GWW Read-Through:</w:t>
      </w:r>
      <w:r>
        <w:rPr>
          <w:rFonts w:ascii="Calibri" w:hAnsi="Calibri"/>
          <w:color w:val="525866"/>
          <w:sz w:val="22"/>
        </w:rPr>
        <w:t xml:space="preserve"> Highly positive for GWW's Q3 2026 outlook. Mid-teens July growth at WCC suggests the demand inflection GWW flagged in Q1 has sustained and potentially accelerated into Q3. Source: WCC Q2 2026 Earnings Call (July 30, 2026).</w:t>
      </w:r>
    </w:p>
    <w:p>
      <w:pPr>
        <w:pStyle w:val="ListBullet"/>
        <w:ind w:left="360" w:hanging="360"/>
      </w:pPr>
      <w:r>
        <w:rPr>
          <w:rFonts w:ascii="Calibri" w:hAnsi="Calibri"/>
          <w:b/>
          <w:color w:val="525866"/>
          <w:sz w:val="22"/>
        </w:rPr>
        <w:t xml:space="preserve">Full-Year 2026 Guidance Raised (Forward-Looking): </w:t>
      </w:r>
      <w:r>
        <w:rPr>
          <w:rFonts w:ascii="Calibri" w:hAnsi="Calibri"/>
          <w:color w:val="525866"/>
          <w:sz w:val="22"/>
        </w:rPr>
        <w:t xml:space="preserve">Wesco raised FY2026 organic sales growth guidance to 9–11% (from 5–8% previously), with total reported sales growth of 10–12% and total sales of ~$26B at the midpoint. H2 2026 implies mid-single-digit sequential growth vs. H1. </w:t>
      </w:r>
      <w:r>
        <w:rPr>
          <w:rFonts w:ascii="Calibri" w:hAnsi="Calibri"/>
          <w:b/>
          <w:color w:val="525866"/>
          <w:sz w:val="22"/>
        </w:rPr>
        <w:t>GWW Read-Through:</w:t>
      </w:r>
      <w:r>
        <w:rPr>
          <w:rFonts w:ascii="Calibri" w:hAnsi="Calibri"/>
          <w:color w:val="525866"/>
          <w:sz w:val="22"/>
        </w:rPr>
        <w:t xml:space="preserve"> Positive — a peer raising full-year guidance in the same macro environment supports GWW's own raised FY2026 guide and reduces the risk of a guidance cut at Q2 results. Source: WCC Q2 2026 Earnings Call (July 30, 2026).</w:t>
      </w:r>
    </w:p>
    <w:p>
      <w:pPr>
        <w:pStyle w:val="ListBullet"/>
        <w:ind w:left="360" w:hanging="360"/>
      </w:pPr>
      <w:r>
        <w:rPr>
          <w:rFonts w:ascii="Calibri" w:hAnsi="Calibri"/>
          <w:b/>
          <w:color w:val="525866"/>
          <w:sz w:val="22"/>
        </w:rPr>
        <w:t xml:space="preserve">Data Center Demand (Full-Year 2026 Outlook): </w:t>
      </w:r>
      <w:r>
        <w:rPr>
          <w:rFonts w:ascii="Calibri" w:hAnsi="Calibri"/>
          <w:color w:val="525866"/>
          <w:sz w:val="22"/>
        </w:rPr>
        <w:t xml:space="preserve">Wesco raised its CSS data center sales outlook to "30%+ year over year, reflecting continued strength in hyperscale and data center related demand." CEO John Engel described OEM growth of "over 20%" as "an indicator of the beginning of this broader industrial super cycle." Construction grew "high single digits" in Q2, driven by broader infrastructure investments. </w:t>
      </w:r>
      <w:r>
        <w:rPr>
          <w:rFonts w:ascii="Calibri" w:hAnsi="Calibri"/>
          <w:b/>
          <w:color w:val="525866"/>
          <w:sz w:val="22"/>
        </w:rPr>
        <w:t>GWW Read-Through:</w:t>
      </w:r>
      <w:r>
        <w:rPr>
          <w:rFonts w:ascii="Calibri" w:hAnsi="Calibri"/>
          <w:color w:val="525866"/>
          <w:sz w:val="22"/>
        </w:rPr>
        <w:t xml:space="preserve"> Positive for GWW's industrial and construction end-market exposure. The "industrial super cycle" narrative, if it materializes, would be a multi-quarter tailwind for GWW's High-Touch Solutions segment. Source: WCC Q2 2026 Earnings Call (July 30, 2026).</w:t>
      </w:r>
    </w:p>
    <w:p>
      <w:pPr>
        <w:pStyle w:val="ListBullet"/>
        <w:ind w:left="360" w:hanging="360"/>
      </w:pPr>
      <w:r>
        <w:rPr>
          <w:rFonts w:ascii="Calibri" w:hAnsi="Calibri"/>
          <w:b/>
          <w:color w:val="525866"/>
          <w:sz w:val="22"/>
        </w:rPr>
        <w:t xml:space="preserve">Pricing Environment (Q3 2026 Outlook): </w:t>
      </w:r>
      <w:r>
        <w:rPr>
          <w:rFonts w:ascii="Calibri" w:hAnsi="Calibri"/>
          <w:color w:val="525866"/>
          <w:sz w:val="22"/>
        </w:rPr>
        <w:t xml:space="preserve">Wesco characterized the pricing environment as "back to business as usual" — no extraordinary supplier price increases, with suppliers "being very measured" and "testing the markets." </w:t>
      </w:r>
      <w:r>
        <w:rPr>
          <w:rFonts w:ascii="Calibri" w:hAnsi="Calibri"/>
          <w:b/>
          <w:color w:val="525866"/>
          <w:sz w:val="22"/>
        </w:rPr>
        <w:t>GWW Read-Through:</w:t>
      </w:r>
      <w:r>
        <w:rPr>
          <w:rFonts w:ascii="Calibri" w:hAnsi="Calibri"/>
          <w:color w:val="525866"/>
          <w:sz w:val="22"/>
        </w:rPr>
        <w:t xml:space="preserve"> Consistent with GWW's "net neutral" May pricing actions. A stable pricing environment reduces the risk of margin compression from unexpected cost pass-through in Q2 and Q3. Source: WCC Q2 2026 Earnings Call (July 30, 2026).</w:t>
      </w:r>
    </w:p>
    <w:p>
      <w:pPr>
        <w:pStyle w:val="ListBullet"/>
        <w:ind w:left="360" w:hanging="360"/>
      </w:pPr>
      <w:r>
        <w:rPr>
          <w:rFonts w:ascii="Calibri" w:hAnsi="Calibri"/>
          <w:b/>
          <w:color w:val="525866"/>
          <w:sz w:val="22"/>
        </w:rPr>
        <w:t xml:space="preserve">Q3 2026 Margin Outlook: </w:t>
      </w:r>
      <w:r>
        <w:rPr>
          <w:rFonts w:ascii="Calibri" w:hAnsi="Calibri"/>
          <w:color w:val="525866"/>
          <w:sz w:val="22"/>
        </w:rPr>
        <w:t xml:space="preserve">Adjusted EBITDA margin expected to be "slightly lower sequentially" in Q3 2026, driven by business mix (larger, chunkier projects). </w:t>
      </w:r>
      <w:r>
        <w:rPr>
          <w:rFonts w:ascii="Calibri" w:hAnsi="Calibri"/>
          <w:b/>
          <w:color w:val="525866"/>
          <w:sz w:val="22"/>
        </w:rPr>
        <w:t>GWW Read-Through:</w:t>
      </w:r>
      <w:r>
        <w:rPr>
          <w:rFonts w:ascii="Calibri" w:hAnsi="Calibri"/>
          <w:color w:val="525866"/>
          <w:sz w:val="22"/>
        </w:rPr>
        <w:t xml:space="preserve"> Directionally relevant — mix-driven margin pressure is a shared dynamic in industrial distribution. Source: WCC Q2 2026 Earnings Call (July 30, 2026).</w:t>
      </w:r>
    </w:p>
    <w:p>
      <w:pPr>
        <w:pStyle w:val="ListBullet"/>
        <w:ind w:left="360" w:hanging="360"/>
      </w:pPr>
      <w:r>
        <w:rPr>
          <w:rFonts w:ascii="Calibri" w:hAnsi="Calibri"/>
          <w:b/>
          <w:color w:val="525866"/>
          <w:sz w:val="22"/>
        </w:rPr>
        <w:t xml:space="preserve">Limits to Read-Through: </w:t>
      </w:r>
      <w:r>
        <w:rPr>
          <w:rFonts w:ascii="Calibri" w:hAnsi="Calibri"/>
          <w:color w:val="525866"/>
          <w:sz w:val="22"/>
        </w:rPr>
        <w:t>Wesco's business is heavily weighted toward electrical/electronic distribution, utility, and broadband — different product mix from GWW's broad-line MRO. Wesco's data center and infrastructure exposure is proportionally larger than GWW's. The "industrial super cycle" commentary is aspirational and not yet reflected in GWW's guidance.</w:t>
      </w:r>
    </w:p>
    <w:p>
      <w:pPr>
        <w:pStyle w:val="Heading3"/>
      </w:pPr>
      <w:r>
        <w:rPr>
          <w:rFonts w:ascii="Calibri" w:hAnsi="Calibri"/>
          <w:b/>
          <w:color w:val="3B4259"/>
          <w:sz w:val="24"/>
        </w:rPr>
        <w:t>MSC Industrial Supply (MSM) — Fiscal Q3 2026 Earnings Call (July 1, 2026)</w:t>
      </w:r>
    </w:p>
    <w:p>
      <w:r>
        <w:rPr>
          <w:rFonts w:ascii="Calibri" w:hAnsi="Calibri"/>
          <w:b/>
          <w:color w:val="525866"/>
          <w:sz w:val="22"/>
        </w:rPr>
        <w:t xml:space="preserve">Peer Reference Period: </w:t>
      </w:r>
      <w:r>
        <w:rPr>
          <w:rFonts w:ascii="Calibri" w:hAnsi="Calibri"/>
          <w:color w:val="525866"/>
          <w:sz w:val="22"/>
        </w:rPr>
        <w:t>MSM Fiscal Q3 2026 covers March–May 2026. Forward-looking commentary covers MSM Fiscal Q4 2026 (June–August 2026), which overlaps with the tail end of GWW's Q2 2026 (April–June) and the start of GWW's Q3 2026.</w:t>
      </w:r>
    </w:p>
    <w:p>
      <w:r>
        <w:rPr>
          <w:rFonts w:ascii="Calibri" w:hAnsi="Calibri"/>
          <w:b/>
          <w:color w:val="525866"/>
          <w:sz w:val="22"/>
        </w:rPr>
        <w:t xml:space="preserve">Relevance to GWW Q2 2026: </w:t>
      </w:r>
      <w:r>
        <w:rPr>
          <w:rFonts w:ascii="Calibri" w:hAnsi="Calibri"/>
          <w:color w:val="525866"/>
          <w:sz w:val="22"/>
        </w:rPr>
        <w:t>Moderate. MSM is a direct MRO peer, but its fiscal calendar is offset from GWW's. MSM's Fiscal Q4 2026 outlook (June–August) provides a read on the June portion of GWW's Q2 2026 and the early weeks of GWW's Q3 2026. MSM's volume improvement commentary is particularly relevant given both companies serve similar industrial end markets.</w:t>
      </w:r>
    </w:p>
    <w:p>
      <w:pPr>
        <w:pStyle w:val="ListBullet"/>
        <w:ind w:left="360" w:hanging="360"/>
      </w:pPr>
      <w:r>
        <w:rPr>
          <w:rFonts w:ascii="Calibri" w:hAnsi="Calibri"/>
          <w:b/>
          <w:color w:val="525866"/>
          <w:sz w:val="22"/>
        </w:rPr>
        <w:t xml:space="preserve">Volume Improvement Trend (June 2026 — Overlaps GWW Q2 End): </w:t>
      </w:r>
      <w:r>
        <w:rPr>
          <w:rFonts w:ascii="Calibri" w:hAnsi="Calibri"/>
          <w:color w:val="525866"/>
          <w:sz w:val="22"/>
        </w:rPr>
        <w:t xml:space="preserve">"Volumes returned to growth across all customer types in April and May. And now we see it again in June" (CEO Martina McIsaac). MSM Fiscal Q4 2026 ADS growth guided to 6.5–8.5% YoY, "definitely implying volume improvement at the midpoint." Vending per unit up "high single digits," described as "clearly a volume driver." </w:t>
      </w:r>
      <w:r>
        <w:rPr>
          <w:rFonts w:ascii="Calibri" w:hAnsi="Calibri"/>
          <w:b/>
          <w:color w:val="525866"/>
          <w:sz w:val="22"/>
        </w:rPr>
        <w:t>GWW Read-Through:</w:t>
      </w:r>
      <w:r>
        <w:rPr>
          <w:rFonts w:ascii="Calibri" w:hAnsi="Calibri"/>
          <w:color w:val="525866"/>
          <w:sz w:val="22"/>
        </w:rPr>
        <w:t xml:space="preserve"> Positive — volume growth across all customer types in June supports GWW's Q2 2026 demand narrative. The "third inning" of industrial recovery language is consistent with GWW's own commentary about MRO market volume turning positive for the first time in years. Source: MSM Fiscal Q3 2026 Earnings Call (July 1, 2026).</w:t>
      </w:r>
    </w:p>
    <w:p>
      <w:pPr>
        <w:pStyle w:val="ListBullet"/>
        <w:ind w:left="360" w:hanging="360"/>
      </w:pPr>
      <w:r>
        <w:rPr>
          <w:rFonts w:ascii="Calibri" w:hAnsi="Calibri"/>
          <w:b/>
          <w:color w:val="525866"/>
          <w:sz w:val="22"/>
        </w:rPr>
        <w:t xml:space="preserve">Industrial Recovery Macro Backdrop (Forward-Looking): </w:t>
      </w:r>
      <w:r>
        <w:rPr>
          <w:rFonts w:ascii="Calibri" w:hAnsi="Calibri"/>
          <w:color w:val="525866"/>
          <w:sz w:val="22"/>
        </w:rPr>
        <w:t xml:space="preserve">"We are seeing further signs of an industrial recovery taking shape with positive IP readings across most of our top manufacturing end markets and five consecutive months of MBI readings above 50" (McIsaac). Recovery estimated to be in the "third inning." Automotive turned positive in June. Summer shutdown patterns "changing significantly" — pre-planned automotive shutdowns being canceled or not announced. </w:t>
      </w:r>
      <w:r>
        <w:rPr>
          <w:rFonts w:ascii="Calibri" w:hAnsi="Calibri"/>
          <w:b/>
          <w:color w:val="525866"/>
          <w:sz w:val="22"/>
        </w:rPr>
        <w:t>GWW Read-Through:</w:t>
      </w:r>
      <w:r>
        <w:rPr>
          <w:rFonts w:ascii="Calibri" w:hAnsi="Calibri"/>
          <w:color w:val="525866"/>
          <w:sz w:val="22"/>
        </w:rPr>
        <w:t xml:space="preserve"> Positive — the cancellation of summer shutdowns and automotive recovery are incremental positives for industrial MRO demand in June and July, benefiting both GWW's Q2 close and Q3 open. Source: MSM Fiscal Q3 2026 Earnings Call (July 1, 2026).</w:t>
      </w:r>
    </w:p>
    <w:p>
      <w:pPr>
        <w:pStyle w:val="ListBullet"/>
        <w:ind w:left="360" w:hanging="360"/>
      </w:pPr>
      <w:r>
        <w:rPr>
          <w:rFonts w:ascii="Calibri" w:hAnsi="Calibri"/>
          <w:b/>
          <w:color w:val="525866"/>
          <w:sz w:val="22"/>
        </w:rPr>
        <w:t xml:space="preserve">Pricing (MSM Fiscal Q4 2026 Outlook — Forward-Looking): </w:t>
      </w:r>
      <w:r>
        <w:rPr>
          <w:rFonts w:ascii="Calibri" w:hAnsi="Calibri"/>
          <w:color w:val="525866"/>
          <w:sz w:val="22"/>
        </w:rPr>
        <w:t xml:space="preserve">MSM expects Q4 pricing in the "6.5–7% range," driven by tungsten inflation ("up over 500%") with a planned price action in Q4. Price-cost positive contributed 20–30 bps to margin in Q3 and is expected to look similar in Q4. </w:t>
      </w:r>
      <w:r>
        <w:rPr>
          <w:rFonts w:ascii="Calibri" w:hAnsi="Calibri"/>
          <w:b/>
          <w:color w:val="525866"/>
          <w:sz w:val="22"/>
        </w:rPr>
        <w:t>GWW Read-Through:</w:t>
      </w:r>
      <w:r>
        <w:rPr>
          <w:rFonts w:ascii="Calibri" w:hAnsi="Calibri"/>
          <w:color w:val="525866"/>
          <w:sz w:val="22"/>
        </w:rPr>
        <w:t xml:space="preserve"> Limited direct read-through — MSM's tungsten/carbide cutting tool inflation is product-specific and not a major GWW input. However, the broader message that price-cost dynamics remain manageable is consistent with GWW's framework. Source: MSM Fiscal Q3 2026 Earnings Call (July 1, 2026).</w:t>
      </w:r>
    </w:p>
    <w:p>
      <w:pPr>
        <w:pStyle w:val="ListBullet"/>
        <w:ind w:left="360" w:hanging="360"/>
      </w:pPr>
      <w:r>
        <w:rPr>
          <w:rFonts w:ascii="Calibri" w:hAnsi="Calibri"/>
          <w:b/>
          <w:color w:val="525866"/>
          <w:sz w:val="22"/>
        </w:rPr>
        <w:t xml:space="preserve">Gross Margin Strategy (Forward-Looking): </w:t>
      </w:r>
      <w:r>
        <w:rPr>
          <w:rFonts w:ascii="Calibri" w:hAnsi="Calibri"/>
          <w:color w:val="525866"/>
          <w:sz w:val="22"/>
        </w:rPr>
        <w:t xml:space="preserve">MSM explicitly targets keeping gross margin in the "40–41% range" and using efficiency gains to offer competitive pricing to drive volume. Gross margin expected to follow a "40–50 bps sequential decline" from Q3 to Q4. </w:t>
      </w:r>
      <w:r>
        <w:rPr>
          <w:rFonts w:ascii="Calibri" w:hAnsi="Calibri"/>
          <w:b/>
          <w:color w:val="525866"/>
          <w:sz w:val="22"/>
        </w:rPr>
        <w:t>GWW Read-Through:</w:t>
      </w:r>
      <w:r>
        <w:rPr>
          <w:rFonts w:ascii="Calibri" w:hAnsi="Calibri"/>
          <w:color w:val="525866"/>
          <w:sz w:val="22"/>
        </w:rPr>
        <w:t xml:space="preserve"> Limited — MSM's gross margin strategy (prioritizing volume over margin expansion) differs from GWW's approach. GWW's guided ~39% Q2 gross margin reflects different product mix and LIFO accounting dynamics. Source: MSM Fiscal Q3 2026 Earnings Call (July 1, 2026).</w:t>
      </w:r>
    </w:p>
    <w:p>
      <w:pPr>
        <w:pStyle w:val="ListBullet"/>
        <w:ind w:left="360" w:hanging="360"/>
      </w:pPr>
      <w:r>
        <w:rPr>
          <w:rFonts w:ascii="Calibri" w:hAnsi="Calibri"/>
          <w:b/>
          <w:color w:val="525866"/>
          <w:sz w:val="22"/>
        </w:rPr>
        <w:t xml:space="preserve">Limits to Read-Through: </w:t>
      </w:r>
      <w:r>
        <w:rPr>
          <w:rFonts w:ascii="Calibri" w:hAnsi="Calibri"/>
          <w:color w:val="525866"/>
          <w:sz w:val="22"/>
        </w:rPr>
        <w:t>MSM's fiscal calendar offset means its Q4 2026 (June–August) only partially overlaps with GWW's Q2 2026 (April–June). A substantial portion of MSM's positive volume trends are attributed to its internal "Sales Force Optimization" initiative — company-specific and not transferable to GWW. MSM's tungsten/carbide inflation is product-specific and not a GWW input cost driver.</w:t>
      </w:r>
    </w:p>
    <w:p>
      <w:pPr>
        <w:pStyle w:val="Heading3"/>
      </w:pPr>
      <w:r>
        <w:rPr>
          <w:rFonts w:ascii="Calibri" w:hAnsi="Calibri"/>
          <w:b/>
          <w:color w:val="3B4259"/>
          <w:sz w:val="24"/>
        </w:rPr>
        <w:t>Core &amp; Main (CNM) — Fiscal Q1 2026 Earnings Call (June 10, 2026)</w:t>
      </w:r>
    </w:p>
    <w:p>
      <w:r>
        <w:rPr>
          <w:rFonts w:ascii="Calibri" w:hAnsi="Calibri"/>
          <w:b/>
          <w:color w:val="525866"/>
          <w:sz w:val="22"/>
        </w:rPr>
        <w:t xml:space="preserve">Peer Reference Period: </w:t>
      </w:r>
      <w:r>
        <w:rPr>
          <w:rFonts w:ascii="Calibri" w:hAnsi="Calibri"/>
          <w:color w:val="525866"/>
          <w:sz w:val="22"/>
        </w:rPr>
        <w:t>CNM Fiscal Q1 2026 (February–April 2026). Forward-looking commentary covers CNM Fiscal Q2 2026 (May–July 2026), which overlaps with the May–June portion of GWW's Q2 2026.</w:t>
      </w:r>
    </w:p>
    <w:p>
      <w:r>
        <w:rPr>
          <w:rFonts w:ascii="Calibri" w:hAnsi="Calibri"/>
          <w:b/>
          <w:color w:val="525866"/>
          <w:sz w:val="22"/>
        </w:rPr>
        <w:t xml:space="preserve">Relevance to GWW Q2 2026: </w:t>
      </w:r>
      <w:r>
        <w:rPr>
          <w:rFonts w:ascii="Calibri" w:hAnsi="Calibri"/>
          <w:color w:val="525866"/>
          <w:sz w:val="22"/>
        </w:rPr>
        <w:t>Low-to-Moderate. Core &amp; Main is a water/waterworks infrastructure distributor — a different product category from GWW's broad-line MRO. However, its commentary on construction end-market trends (data centers, manufacturing, commercial) and pricing dynamics provides a useful cross-check on the broader distribution environment.</w:t>
      </w:r>
    </w:p>
    <w:p>
      <w:pPr>
        <w:pStyle w:val="ListBullet"/>
        <w:ind w:left="360" w:hanging="360"/>
      </w:pPr>
      <w:r>
        <w:rPr>
          <w:rFonts w:ascii="Calibri" w:hAnsi="Calibri"/>
          <w:b/>
          <w:color w:val="525866"/>
          <w:sz w:val="22"/>
        </w:rPr>
        <w:t xml:space="preserve">Nonresidential Construction Demand (CNM Fiscal Q2 2026 Outlook — Forward-Looking): </w:t>
      </w:r>
      <w:r>
        <w:rPr>
          <w:rFonts w:ascii="Calibri" w:hAnsi="Calibri"/>
          <w:color w:val="525866"/>
          <w:sz w:val="22"/>
        </w:rPr>
        <w:t xml:space="preserve">"Nonresidential demand remains mixed across project types and geographies, but overall activity has been stable." Strong momentum in data centers and manufacturing facilities; fire protection sales up ~17% YoY. "Strong data center and manufacturing activity has largely offset softness in traditional commercial construction" (retail, office). </w:t>
      </w:r>
      <w:r>
        <w:rPr>
          <w:rFonts w:ascii="Calibri" w:hAnsi="Calibri"/>
          <w:b/>
          <w:color w:val="525866"/>
          <w:sz w:val="22"/>
        </w:rPr>
        <w:t>GWW Read-Through:</w:t>
      </w:r>
      <w:r>
        <w:rPr>
          <w:rFonts w:ascii="Calibri" w:hAnsi="Calibri"/>
          <w:color w:val="525866"/>
          <w:sz w:val="22"/>
        </w:rPr>
        <w:t xml:space="preserve"> Moderately positive — data center and manufacturing strength is consistent with GWW's own end-market commentary. Softness in traditional commercial construction (retail, office) is a modest headwind for GWW's contractor customer segment. Source: CNM Fiscal Q1 2026 Earnings Call (June 10, 2026).</w:t>
      </w:r>
    </w:p>
    <w:p>
      <w:pPr>
        <w:pStyle w:val="ListBullet"/>
        <w:ind w:left="360" w:hanging="360"/>
      </w:pPr>
      <w:r>
        <w:rPr>
          <w:rFonts w:ascii="Calibri" w:hAnsi="Calibri"/>
          <w:b/>
          <w:color w:val="525866"/>
          <w:sz w:val="22"/>
        </w:rPr>
        <w:t xml:space="preserve">Pricing Stabilization (Forward-Looking): </w:t>
      </w:r>
      <w:r>
        <w:rPr>
          <w:rFonts w:ascii="Calibri" w:hAnsi="Calibri"/>
          <w:color w:val="525866"/>
          <w:sz w:val="22"/>
        </w:rPr>
        <w:t xml:space="preserve">"Overall, pricing was stable during the quarter with increases across most of our product portfolio." PVC pricing stable sequentially; supplier price increases beginning to emerge, expected to be a "modest sequential tailwind" in Q3. </w:t>
      </w:r>
      <w:r>
        <w:rPr>
          <w:rFonts w:ascii="Calibri" w:hAnsi="Calibri"/>
          <w:b/>
          <w:color w:val="525866"/>
          <w:sz w:val="22"/>
        </w:rPr>
        <w:t>GWW Read-Through:</w:t>
      </w:r>
      <w:r>
        <w:rPr>
          <w:rFonts w:ascii="Calibri" w:hAnsi="Calibri"/>
          <w:color w:val="525866"/>
          <w:sz w:val="22"/>
        </w:rPr>
        <w:t xml:space="preserve"> Consistent with the broader "stable pricing" theme across industrial distribution peers. Source: CNM Fiscal Q1 2026 Earnings Call (June 10, 2026).</w:t>
      </w:r>
    </w:p>
    <w:p>
      <w:pPr>
        <w:pStyle w:val="ListBullet"/>
        <w:ind w:left="360" w:hanging="360"/>
      </w:pPr>
      <w:r>
        <w:rPr>
          <w:rFonts w:ascii="Calibri" w:hAnsi="Calibri"/>
          <w:b/>
          <w:color w:val="525866"/>
          <w:sz w:val="22"/>
        </w:rPr>
        <w:t xml:space="preserve">Residential Demand (Forward-Looking): </w:t>
      </w:r>
      <w:r>
        <w:rPr>
          <w:rFonts w:ascii="Calibri" w:hAnsi="Calibri"/>
          <w:color w:val="525866"/>
          <w:sz w:val="22"/>
        </w:rPr>
        <w:t xml:space="preserve">Residential markets "remain challenged" with YoY declines; CNM expects "some slight growth in the second quarter" with the majority of growth in H2 2026 on easier comps. </w:t>
      </w:r>
      <w:r>
        <w:rPr>
          <w:rFonts w:ascii="Calibri" w:hAnsi="Calibri"/>
          <w:b/>
          <w:color w:val="525866"/>
          <w:sz w:val="22"/>
        </w:rPr>
        <w:t>GWW Read-Through:</w:t>
      </w:r>
      <w:r>
        <w:rPr>
          <w:rFonts w:ascii="Calibri" w:hAnsi="Calibri"/>
          <w:color w:val="525866"/>
          <w:sz w:val="22"/>
        </w:rPr>
        <w:t xml:space="preserve"> Limited — GWW has minimal direct residential construction exposure. Source: CNM Fiscal Q1 2026 Earnings Call (June 10, 2026).</w:t>
      </w:r>
    </w:p>
    <w:p>
      <w:pPr>
        <w:pStyle w:val="ListBullet"/>
        <w:ind w:left="360" w:hanging="360"/>
      </w:pPr>
      <w:r>
        <w:rPr>
          <w:rFonts w:ascii="Calibri" w:hAnsi="Calibri"/>
          <w:b/>
          <w:color w:val="525866"/>
          <w:sz w:val="22"/>
        </w:rPr>
        <w:t xml:space="preserve">Limits to Read-Through: </w:t>
      </w:r>
      <w:r>
        <w:rPr>
          <w:rFonts w:ascii="Calibri" w:hAnsi="Calibri"/>
          <w:color w:val="525866"/>
          <w:sz w:val="22"/>
        </w:rPr>
        <w:t>Core &amp; Main's product focus (waterworks, fire protection, storm drainage) is fundamentally different from GWW's broad-line MRO. Municipal demand — CNM's largest end market — has no direct GWW equivalent. The read-through is primarily useful for cross-checking construction end-market trends.</w:t>
      </w:r>
    </w:p>
    <w:p>
      <w:pPr>
        <w:pStyle w:val="Heading3"/>
      </w:pPr>
      <w:r>
        <w:rPr>
          <w:rFonts w:ascii="Calibri" w:hAnsi="Calibri"/>
          <w:b/>
          <w:color w:val="3B4259"/>
          <w:sz w:val="24"/>
        </w:rPr>
        <w:t>Peer Commentary Summary Table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Peer</w:t>
            </w:r>
          </w:p>
        </w:tc>
        <w:tc>
          <w:tcPr>
            <w:tcW w:type="dxa" w:w="1440"/>
            <w:shd w:val="clear" w:color="auto" w:fill="3B4259"/>
          </w:tcPr>
          <w:p>
            <w:r>
              <w:rPr>
                <w:rFonts w:ascii="Calibri" w:hAnsi="Calibri"/>
                <w:b/>
                <w:color w:val="FFFFFF"/>
                <w:sz w:val="22"/>
              </w:rPr>
              <w:t>Commentary Date</w:t>
            </w:r>
          </w:p>
        </w:tc>
        <w:tc>
          <w:tcPr>
            <w:tcW w:type="dxa" w:w="1440"/>
            <w:shd w:val="clear" w:color="auto" w:fill="3B4259"/>
          </w:tcPr>
          <w:p>
            <w:r>
              <w:rPr>
                <w:rFonts w:ascii="Calibri" w:hAnsi="Calibri"/>
                <w:b/>
                <w:color w:val="FFFFFF"/>
                <w:sz w:val="22"/>
              </w:rPr>
              <w:t>Peer Reference Period</w:t>
            </w:r>
          </w:p>
        </w:tc>
        <w:tc>
          <w:tcPr>
            <w:tcW w:type="dxa" w:w="1440"/>
            <w:shd w:val="clear" w:color="auto" w:fill="3B4259"/>
          </w:tcPr>
          <w:p>
            <w:r>
              <w:rPr>
                <w:rFonts w:ascii="Calibri" w:hAnsi="Calibri"/>
                <w:b/>
                <w:color w:val="FFFFFF"/>
                <w:sz w:val="22"/>
              </w:rPr>
              <w:t>Key Forward-Looking Signal</w:t>
            </w:r>
          </w:p>
        </w:tc>
        <w:tc>
          <w:tcPr>
            <w:tcW w:type="dxa" w:w="1440"/>
            <w:shd w:val="clear" w:color="auto" w:fill="3B4259"/>
          </w:tcPr>
          <w:p>
            <w:r>
              <w:rPr>
                <w:rFonts w:ascii="Calibri" w:hAnsi="Calibri"/>
                <w:b/>
                <w:color w:val="FFFFFF"/>
                <w:sz w:val="22"/>
              </w:rPr>
              <w:t>GWW Read-Through</w:t>
            </w:r>
          </w:p>
        </w:tc>
        <w:tc>
          <w:tcPr>
            <w:tcW w:type="dxa" w:w="1440"/>
            <w:shd w:val="clear" w:color="auto" w:fill="3B4259"/>
          </w:tcPr>
          <w:p>
            <w:r>
              <w:rPr>
                <w:rFonts w:ascii="Calibri" w:hAnsi="Calibri"/>
                <w:b/>
                <w:color w:val="FFFFFF"/>
                <w:sz w:val="22"/>
              </w:rPr>
              <w:t>Relevance</w:t>
            </w:r>
          </w:p>
        </w:tc>
      </w:tr>
      <w:tr>
        <w:tc>
          <w:tcPr>
            <w:tcW w:type="dxa" w:w="1440"/>
          </w:tcPr>
          <w:p>
            <w:r>
              <w:rPr>
                <w:rFonts w:ascii="Calibri" w:hAnsi="Calibri"/>
                <w:sz w:val="22"/>
              </w:rPr>
              <w:t>FAST</w:t>
            </w:r>
          </w:p>
        </w:tc>
        <w:tc>
          <w:tcPr>
            <w:tcW w:type="dxa" w:w="1440"/>
          </w:tcPr>
          <w:p>
            <w:r>
              <w:rPr>
                <w:rFonts w:ascii="Calibri" w:hAnsi="Calibri"/>
                <w:sz w:val="22"/>
              </w:rPr>
              <w:t>July 14, 2026</w:t>
            </w:r>
          </w:p>
        </w:tc>
        <w:tc>
          <w:tcPr>
            <w:tcW w:type="dxa" w:w="1440"/>
          </w:tcPr>
          <w:p>
            <w:r>
              <w:rPr>
                <w:rFonts w:ascii="Calibri" w:hAnsi="Calibri"/>
                <w:sz w:val="22"/>
              </w:rPr>
              <w:t>Q2 2026 (Apr–Jun); Q3 2026 outlook</w:t>
            </w:r>
          </w:p>
        </w:tc>
        <w:tc>
          <w:tcPr>
            <w:tcW w:type="dxa" w:w="1440"/>
          </w:tcPr>
          <w:p>
            <w:r>
              <w:rPr>
                <w:rFonts w:ascii="Calibri" w:hAnsi="Calibri"/>
                <w:sz w:val="22"/>
              </w:rPr>
              <w:t>PMI &gt;53, stable-to-positive demand, construction +17%, manufacturing solid; FMI signings +8.3% as Q3 leading indicator</w:t>
            </w:r>
          </w:p>
        </w:tc>
        <w:tc>
          <w:tcPr>
            <w:tcW w:type="dxa" w:w="1440"/>
          </w:tcPr>
          <w:p>
            <w:r>
              <w:rPr>
                <w:rFonts w:ascii="Calibri" w:hAnsi="Calibri"/>
                <w:b/>
                <w:color w:val="30A46C"/>
                <w:sz w:val="22"/>
              </w:rPr>
              <w:t>Positive</w:t>
            </w:r>
          </w:p>
        </w:tc>
        <w:tc>
          <w:tcPr>
            <w:tcW w:type="dxa" w:w="1440"/>
          </w:tcPr>
          <w:p>
            <w:r>
              <w:rPr>
                <w:rFonts w:ascii="Calibri" w:hAnsi="Calibri"/>
                <w:sz w:val="22"/>
              </w:rPr>
              <w:t>High</w:t>
            </w:r>
          </w:p>
        </w:tc>
      </w:tr>
      <w:tr>
        <w:tc>
          <w:tcPr>
            <w:tcW w:type="dxa" w:w="1440"/>
          </w:tcPr>
          <w:p>
            <w:r>
              <w:rPr>
                <w:rFonts w:ascii="Calibri" w:hAnsi="Calibri"/>
                <w:sz w:val="22"/>
              </w:rPr>
              <w:t>WCC</w:t>
            </w:r>
          </w:p>
        </w:tc>
        <w:tc>
          <w:tcPr>
            <w:tcW w:type="dxa" w:w="1440"/>
          </w:tcPr>
          <w:p>
            <w:r>
              <w:rPr>
                <w:rFonts w:ascii="Calibri" w:hAnsi="Calibri"/>
                <w:sz w:val="22"/>
              </w:rPr>
              <w:t>July 30, 2026</w:t>
            </w:r>
          </w:p>
        </w:tc>
        <w:tc>
          <w:tcPr>
            <w:tcW w:type="dxa" w:w="1440"/>
          </w:tcPr>
          <w:p>
            <w:r>
              <w:rPr>
                <w:rFonts w:ascii="Calibri" w:hAnsi="Calibri"/>
                <w:sz w:val="22"/>
              </w:rPr>
              <w:t>Q2 2026 (Apr–Jun); Q3 2026 outlook</w:t>
            </w:r>
          </w:p>
        </w:tc>
        <w:tc>
          <w:tcPr>
            <w:tcW w:type="dxa" w:w="1440"/>
          </w:tcPr>
          <w:p>
            <w:r>
              <w:rPr>
                <w:rFonts w:ascii="Calibri" w:hAnsi="Calibri"/>
                <w:sz w:val="22"/>
              </w:rPr>
              <w:t>July MTD sales +mid-teens; FY guide raised to 9–11% organic; data center +30%+; pricing "back to normal"</w:t>
            </w:r>
          </w:p>
        </w:tc>
        <w:tc>
          <w:tcPr>
            <w:tcW w:type="dxa" w:w="1440"/>
          </w:tcPr>
          <w:p>
            <w:r>
              <w:rPr>
                <w:rFonts w:ascii="Calibri" w:hAnsi="Calibri"/>
                <w:b/>
                <w:color w:val="30A46C"/>
                <w:sz w:val="22"/>
              </w:rPr>
              <w:t>Positive</w:t>
            </w:r>
          </w:p>
        </w:tc>
        <w:tc>
          <w:tcPr>
            <w:tcW w:type="dxa" w:w="1440"/>
          </w:tcPr>
          <w:p>
            <w:r>
              <w:rPr>
                <w:rFonts w:ascii="Calibri" w:hAnsi="Calibri"/>
                <w:sz w:val="22"/>
              </w:rPr>
              <w:t>Moderate-High</w:t>
            </w:r>
          </w:p>
        </w:tc>
      </w:tr>
      <w:tr>
        <w:tc>
          <w:tcPr>
            <w:tcW w:type="dxa" w:w="1440"/>
          </w:tcPr>
          <w:p>
            <w:r>
              <w:rPr>
                <w:rFonts w:ascii="Calibri" w:hAnsi="Calibri"/>
                <w:sz w:val="22"/>
              </w:rPr>
              <w:t>MSM</w:t>
            </w:r>
          </w:p>
        </w:tc>
        <w:tc>
          <w:tcPr>
            <w:tcW w:type="dxa" w:w="1440"/>
          </w:tcPr>
          <w:p>
            <w:r>
              <w:rPr>
                <w:rFonts w:ascii="Calibri" w:hAnsi="Calibri"/>
                <w:sz w:val="22"/>
              </w:rPr>
              <w:t>July 1, 2026</w:t>
            </w:r>
          </w:p>
        </w:tc>
        <w:tc>
          <w:tcPr>
            <w:tcW w:type="dxa" w:w="1440"/>
          </w:tcPr>
          <w:p>
            <w:r>
              <w:rPr>
                <w:rFonts w:ascii="Calibri" w:hAnsi="Calibri"/>
                <w:sz w:val="22"/>
              </w:rPr>
              <w:t>Fiscal Q4 2026 outlook (Jun–Aug)</w:t>
            </w:r>
          </w:p>
        </w:tc>
        <w:tc>
          <w:tcPr>
            <w:tcW w:type="dxa" w:w="1440"/>
          </w:tcPr>
          <w:p>
            <w:r>
              <w:rPr>
                <w:rFonts w:ascii="Calibri" w:hAnsi="Calibri"/>
                <w:sz w:val="22"/>
              </w:rPr>
              <w:t>Volume growth across all customer types in June; automotive turned positive; summer shutdowns being canceled; industrial recovery in "third inning"</w:t>
            </w:r>
          </w:p>
        </w:tc>
        <w:tc>
          <w:tcPr>
            <w:tcW w:type="dxa" w:w="1440"/>
          </w:tcPr>
          <w:p>
            <w:r>
              <w:rPr>
                <w:rFonts w:ascii="Calibri" w:hAnsi="Calibri"/>
                <w:b/>
                <w:color w:val="30A46C"/>
                <w:sz w:val="22"/>
              </w:rPr>
              <w:t>Positive</w:t>
            </w:r>
          </w:p>
        </w:tc>
        <w:tc>
          <w:tcPr>
            <w:tcW w:type="dxa" w:w="1440"/>
          </w:tcPr>
          <w:p>
            <w:r>
              <w:rPr>
                <w:rFonts w:ascii="Calibri" w:hAnsi="Calibri"/>
                <w:sz w:val="22"/>
              </w:rPr>
              <w:t>Moderate</w:t>
            </w:r>
          </w:p>
        </w:tc>
      </w:tr>
      <w:tr>
        <w:tc>
          <w:tcPr>
            <w:tcW w:type="dxa" w:w="1440"/>
          </w:tcPr>
          <w:p>
            <w:r>
              <w:rPr>
                <w:rFonts w:ascii="Calibri" w:hAnsi="Calibri"/>
                <w:sz w:val="22"/>
              </w:rPr>
              <w:t>CNM</w:t>
            </w:r>
          </w:p>
        </w:tc>
        <w:tc>
          <w:tcPr>
            <w:tcW w:type="dxa" w:w="1440"/>
          </w:tcPr>
          <w:p>
            <w:r>
              <w:rPr>
                <w:rFonts w:ascii="Calibri" w:hAnsi="Calibri"/>
                <w:sz w:val="22"/>
              </w:rPr>
              <w:t>June 10, 2026</w:t>
            </w:r>
          </w:p>
        </w:tc>
        <w:tc>
          <w:tcPr>
            <w:tcW w:type="dxa" w:w="1440"/>
          </w:tcPr>
          <w:p>
            <w:r>
              <w:rPr>
                <w:rFonts w:ascii="Calibri" w:hAnsi="Calibri"/>
                <w:sz w:val="22"/>
              </w:rPr>
              <w:t>Fiscal Q2 2026 outlook (May–Jul)</w:t>
            </w:r>
          </w:p>
        </w:tc>
        <w:tc>
          <w:tcPr>
            <w:tcW w:type="dxa" w:w="1440"/>
          </w:tcPr>
          <w:p>
            <w:r>
              <w:rPr>
                <w:rFonts w:ascii="Calibri" w:hAnsi="Calibri"/>
                <w:sz w:val="22"/>
              </w:rPr>
              <w:t>Data center and manufacturing demand strong; traditional commercial construction soft; pricing stable</w:t>
            </w:r>
          </w:p>
        </w:tc>
        <w:tc>
          <w:tcPr>
            <w:tcW w:type="dxa" w:w="1440"/>
          </w:tcPr>
          <w:p>
            <w:r>
              <w:rPr>
                <w:rFonts w:ascii="Calibri" w:hAnsi="Calibri"/>
                <w:b/>
                <w:color w:val="002FA7"/>
                <w:sz w:val="22"/>
              </w:rPr>
              <w:t>Mixed</w:t>
            </w:r>
          </w:p>
        </w:tc>
        <w:tc>
          <w:tcPr>
            <w:tcW w:type="dxa" w:w="1440"/>
          </w:tcPr>
          <w:p>
            <w:r>
              <w:rPr>
                <w:rFonts w:ascii="Calibri" w:hAnsi="Calibri"/>
                <w:sz w:val="22"/>
              </w:rPr>
              <w:t>Low-Moderate</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The only insider transactions since the Q1 print were three open-market sales on May 12, 2026 (filed May 14), all by senior officers — none flagged as 10b5-1 planned sales — and all relatively small in dollar terms relative to remaining holdings; no open-market buys have been filed, and the CFO departure (announced July 31) was not preceded by any unusual insider selling activity.</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Name</w:t>
            </w:r>
          </w:p>
        </w:tc>
        <w:tc>
          <w:tcPr>
            <w:tcW w:type="dxa" w:w="1080"/>
            <w:shd w:val="clear" w:color="auto" w:fill="3B4259"/>
          </w:tcPr>
          <w:p>
            <w:r>
              <w:rPr>
                <w:rFonts w:ascii="Calibri" w:hAnsi="Calibri"/>
                <w:b/>
                <w:color w:val="FFFFFF"/>
                <w:sz w:val="22"/>
              </w:rPr>
              <w:t>Title</w:t>
            </w:r>
          </w:p>
        </w:tc>
        <w:tc>
          <w:tcPr>
            <w:tcW w:type="dxa" w:w="1080"/>
            <w:shd w:val="clear" w:color="auto" w:fill="3B4259"/>
          </w:tcPr>
          <w:p>
            <w:r>
              <w:rPr>
                <w:rFonts w:ascii="Calibri" w:hAnsi="Calibri"/>
                <w:b/>
                <w:color w:val="FFFFFF"/>
                <w:sz w:val="22"/>
              </w:rPr>
              <w:t>Transaction Type</w:t>
            </w:r>
          </w:p>
        </w:tc>
        <w:tc>
          <w:tcPr>
            <w:tcW w:type="dxa" w:w="1080"/>
            <w:shd w:val="clear" w:color="auto" w:fill="3B4259"/>
          </w:tcPr>
          <w:p>
            <w:r>
              <w:rPr>
                <w:rFonts w:ascii="Calibri" w:hAnsi="Calibri"/>
                <w:b/>
                <w:color w:val="FFFFFF"/>
                <w:sz w:val="22"/>
              </w:rPr>
              <w:t>Shares</w:t>
            </w:r>
          </w:p>
        </w:tc>
        <w:tc>
          <w:tcPr>
            <w:tcW w:type="dxa" w:w="1080"/>
            <w:shd w:val="clear" w:color="auto" w:fill="3B4259"/>
          </w:tcPr>
          <w:p>
            <w:r>
              <w:rPr>
                <w:rFonts w:ascii="Calibri" w:hAnsi="Calibri"/>
                <w:b/>
                <w:color w:val="FFFFFF"/>
                <w:sz w:val="22"/>
              </w:rPr>
              <w:t>Transaction Date</w:t>
            </w:r>
          </w:p>
        </w:tc>
        <w:tc>
          <w:tcPr>
            <w:tcW w:type="dxa" w:w="1080"/>
            <w:shd w:val="clear" w:color="auto" w:fill="3B4259"/>
          </w:tcPr>
          <w:p>
            <w:r>
              <w:rPr>
                <w:rFonts w:ascii="Calibri" w:hAnsi="Calibri"/>
                <w:b/>
                <w:color w:val="FFFFFF"/>
                <w:sz w:val="22"/>
              </w:rPr>
              <w:t>Filing Date</w:t>
            </w:r>
          </w:p>
        </w:tc>
        <w:tc>
          <w:tcPr>
            <w:tcW w:type="dxa" w:w="1080"/>
            <w:shd w:val="clear" w:color="auto" w:fill="3B4259"/>
          </w:tcPr>
          <w:p>
            <w:r>
              <w:rPr>
                <w:rFonts w:ascii="Calibri" w:hAnsi="Calibri"/>
                <w:b/>
                <w:color w:val="FFFFFF"/>
                <w:sz w:val="22"/>
              </w:rPr>
              <w:t>Shares Remaining</w:t>
            </w:r>
          </w:p>
        </w:tc>
        <w:tc>
          <w:tcPr>
            <w:tcW w:type="dxa" w:w="1080"/>
            <w:shd w:val="clear" w:color="auto" w:fill="3B4259"/>
          </w:tcPr>
          <w:p>
            <w:r>
              <w:rPr>
                <w:rFonts w:ascii="Calibri" w:hAnsi="Calibri"/>
                <w:b/>
                <w:color w:val="FFFFFF"/>
                <w:sz w:val="22"/>
              </w:rPr>
              <w:t>Note</w:t>
            </w:r>
          </w:p>
        </w:tc>
      </w:tr>
      <w:tr>
        <w:tc>
          <w:tcPr>
            <w:tcW w:type="dxa" w:w="1080"/>
          </w:tcPr>
          <w:p>
            <w:r>
              <w:rPr>
                <w:rFonts w:ascii="Calibri" w:hAnsi="Calibri"/>
                <w:sz w:val="22"/>
              </w:rPr>
              <w:t>Jonny M. LeRoy</w:t>
            </w:r>
          </w:p>
        </w:tc>
        <w:tc>
          <w:tcPr>
            <w:tcW w:type="dxa" w:w="1080"/>
          </w:tcPr>
          <w:p>
            <w:r>
              <w:rPr>
                <w:rFonts w:ascii="Calibri" w:hAnsi="Calibri"/>
                <w:sz w:val="22"/>
              </w:rPr>
              <w:t>SVP, Chief Technology Officer</w:t>
            </w:r>
          </w:p>
        </w:tc>
        <w:tc>
          <w:tcPr>
            <w:tcW w:type="dxa" w:w="1080"/>
          </w:tcPr>
          <w:p>
            <w:r>
              <w:rPr>
                <w:rFonts w:ascii="Calibri" w:hAnsi="Calibri"/>
                <w:sz w:val="22"/>
              </w:rPr>
              <w:t>Open Market Sale</w:t>
            </w:r>
          </w:p>
        </w:tc>
        <w:tc>
          <w:tcPr>
            <w:tcW w:type="dxa" w:w="1080"/>
          </w:tcPr>
          <w:p>
            <w:r>
              <w:rPr>
                <w:rFonts w:ascii="Calibri" w:hAnsi="Calibri"/>
                <w:sz w:val="22"/>
              </w:rPr>
              <w:t>854</w:t>
            </w:r>
          </w:p>
        </w:tc>
        <w:tc>
          <w:tcPr>
            <w:tcW w:type="dxa" w:w="1080"/>
          </w:tcPr>
          <w:p>
            <w:r>
              <w:rPr>
                <w:rFonts w:ascii="Calibri" w:hAnsi="Calibri"/>
                <w:sz w:val="22"/>
              </w:rPr>
              <w:t>May 12, 2026</w:t>
            </w:r>
          </w:p>
        </w:tc>
        <w:tc>
          <w:tcPr>
            <w:tcW w:type="dxa" w:w="1080"/>
          </w:tcPr>
          <w:p>
            <w:r>
              <w:rPr>
                <w:rFonts w:ascii="Calibri" w:hAnsi="Calibri"/>
                <w:sz w:val="22"/>
              </w:rPr>
              <w:t>May 14, 2026</w:t>
            </w:r>
          </w:p>
        </w:tc>
        <w:tc>
          <w:tcPr>
            <w:tcW w:type="dxa" w:w="1080"/>
          </w:tcPr>
          <w:p>
            <w:r>
              <w:rPr>
                <w:rFonts w:ascii="Calibri" w:hAnsi="Calibri"/>
                <w:sz w:val="22"/>
              </w:rPr>
              <w:t>1,554</w:t>
            </w:r>
          </w:p>
        </w:tc>
        <w:tc>
          <w:tcPr>
            <w:tcW w:type="dxa" w:w="1080"/>
          </w:tcPr>
          <w:p>
            <w:r>
              <w:rPr>
                <w:rFonts w:ascii="Calibri" w:hAnsi="Calibri"/>
                <w:sz w:val="22"/>
              </w:rPr>
              <w:t>Not flagged as 10b5-1 plan. Discretionary sale; ~35% of pre-sale position sold.</w:t>
            </w:r>
          </w:p>
        </w:tc>
      </w:tr>
      <w:tr>
        <w:tc>
          <w:tcPr>
            <w:tcW w:type="dxa" w:w="1080"/>
          </w:tcPr>
          <w:p>
            <w:r>
              <w:rPr>
                <w:rFonts w:ascii="Calibri" w:hAnsi="Calibri"/>
                <w:sz w:val="22"/>
              </w:rPr>
              <w:t>Paige K. Robbins</w:t>
            </w:r>
          </w:p>
        </w:tc>
        <w:tc>
          <w:tcPr>
            <w:tcW w:type="dxa" w:w="1080"/>
          </w:tcPr>
          <w:p>
            <w:r>
              <w:rPr>
                <w:rFonts w:ascii="Calibri" w:hAnsi="Calibri"/>
                <w:sz w:val="22"/>
              </w:rPr>
              <w:t>Sr. VP</w:t>
            </w:r>
          </w:p>
        </w:tc>
        <w:tc>
          <w:tcPr>
            <w:tcW w:type="dxa" w:w="1080"/>
          </w:tcPr>
          <w:p>
            <w:r>
              <w:rPr>
                <w:rFonts w:ascii="Calibri" w:hAnsi="Calibri"/>
                <w:sz w:val="22"/>
              </w:rPr>
              <w:t>Open Market Sale</w:t>
            </w:r>
          </w:p>
        </w:tc>
        <w:tc>
          <w:tcPr>
            <w:tcW w:type="dxa" w:w="1080"/>
          </w:tcPr>
          <w:p>
            <w:r>
              <w:rPr>
                <w:rFonts w:ascii="Calibri" w:hAnsi="Calibri"/>
                <w:sz w:val="22"/>
              </w:rPr>
              <w:t>1,457</w:t>
            </w:r>
          </w:p>
        </w:tc>
        <w:tc>
          <w:tcPr>
            <w:tcW w:type="dxa" w:w="1080"/>
          </w:tcPr>
          <w:p>
            <w:r>
              <w:rPr>
                <w:rFonts w:ascii="Calibri" w:hAnsi="Calibri"/>
                <w:sz w:val="22"/>
              </w:rPr>
              <w:t>May 12, 2026</w:t>
            </w:r>
          </w:p>
        </w:tc>
        <w:tc>
          <w:tcPr>
            <w:tcW w:type="dxa" w:w="1080"/>
          </w:tcPr>
          <w:p>
            <w:r>
              <w:rPr>
                <w:rFonts w:ascii="Calibri" w:hAnsi="Calibri"/>
                <w:sz w:val="22"/>
              </w:rPr>
              <w:t>May 14, 2026</w:t>
            </w:r>
          </w:p>
        </w:tc>
        <w:tc>
          <w:tcPr>
            <w:tcW w:type="dxa" w:w="1080"/>
          </w:tcPr>
          <w:p>
            <w:r>
              <w:rPr>
                <w:rFonts w:ascii="Calibri" w:hAnsi="Calibri"/>
                <w:sz w:val="22"/>
              </w:rPr>
              <w:t>2,232</w:t>
            </w:r>
          </w:p>
        </w:tc>
        <w:tc>
          <w:tcPr>
            <w:tcW w:type="dxa" w:w="1080"/>
          </w:tcPr>
          <w:p>
            <w:r>
              <w:rPr>
                <w:rFonts w:ascii="Calibri" w:hAnsi="Calibri"/>
                <w:sz w:val="22"/>
              </w:rPr>
              <w:t>Not flagged as 10b5-1 plan. Discretionary sale; ~39% of pre-sale position sold.</w:t>
            </w:r>
          </w:p>
        </w:tc>
      </w:tr>
      <w:tr>
        <w:tc>
          <w:tcPr>
            <w:tcW w:type="dxa" w:w="1080"/>
          </w:tcPr>
          <w:p>
            <w:r>
              <w:rPr>
                <w:rFonts w:ascii="Calibri" w:hAnsi="Calibri"/>
                <w:sz w:val="22"/>
              </w:rPr>
              <w:t>Laurie R. Thomson</w:t>
            </w:r>
          </w:p>
        </w:tc>
        <w:tc>
          <w:tcPr>
            <w:tcW w:type="dxa" w:w="1080"/>
          </w:tcPr>
          <w:p>
            <w:r>
              <w:rPr>
                <w:rFonts w:ascii="Calibri" w:hAnsi="Calibri"/>
                <w:sz w:val="22"/>
              </w:rPr>
              <w:t>VP, Controller (now Interim CFO)</w:t>
            </w:r>
          </w:p>
        </w:tc>
        <w:tc>
          <w:tcPr>
            <w:tcW w:type="dxa" w:w="1080"/>
          </w:tcPr>
          <w:p>
            <w:r>
              <w:rPr>
                <w:rFonts w:ascii="Calibri" w:hAnsi="Calibri"/>
                <w:sz w:val="22"/>
              </w:rPr>
              <w:t>Open Market Sale</w:t>
            </w:r>
          </w:p>
        </w:tc>
        <w:tc>
          <w:tcPr>
            <w:tcW w:type="dxa" w:w="1080"/>
          </w:tcPr>
          <w:p>
            <w:r>
              <w:rPr>
                <w:rFonts w:ascii="Calibri" w:hAnsi="Calibri"/>
                <w:sz w:val="22"/>
              </w:rPr>
              <w:t>313</w:t>
            </w:r>
          </w:p>
        </w:tc>
        <w:tc>
          <w:tcPr>
            <w:tcW w:type="dxa" w:w="1080"/>
          </w:tcPr>
          <w:p>
            <w:r>
              <w:rPr>
                <w:rFonts w:ascii="Calibri" w:hAnsi="Calibri"/>
                <w:sz w:val="22"/>
              </w:rPr>
              <w:t>May 12, 2026</w:t>
            </w:r>
          </w:p>
        </w:tc>
        <w:tc>
          <w:tcPr>
            <w:tcW w:type="dxa" w:w="1080"/>
          </w:tcPr>
          <w:p>
            <w:r>
              <w:rPr>
                <w:rFonts w:ascii="Calibri" w:hAnsi="Calibri"/>
                <w:sz w:val="22"/>
              </w:rPr>
              <w:t>May 14, 2026</w:t>
            </w:r>
          </w:p>
        </w:tc>
        <w:tc>
          <w:tcPr>
            <w:tcW w:type="dxa" w:w="1080"/>
          </w:tcPr>
          <w:p>
            <w:r>
              <w:rPr>
                <w:rFonts w:ascii="Calibri" w:hAnsi="Calibri"/>
                <w:sz w:val="22"/>
              </w:rPr>
              <w:t>399</w:t>
            </w:r>
          </w:p>
        </w:tc>
        <w:tc>
          <w:tcPr>
            <w:tcW w:type="dxa" w:w="1080"/>
          </w:tcPr>
          <w:p>
            <w:r>
              <w:rPr>
                <w:rFonts w:ascii="Calibri" w:hAnsi="Calibri"/>
                <w:sz w:val="22"/>
              </w:rPr>
              <w:t>Not flagged as 10b5-1 plan. Discretionary sale; ~44% of pre-sale position sold. Thomson subsequently appointed interim CFO (effective Sept. 5, 2026).</w:t>
            </w:r>
          </w:p>
        </w:tc>
      </w:tr>
    </w:tbl>
    <w:p>
      <w:r>
        <w:rPr>
          <w:rFonts w:ascii="Calibri" w:hAnsi="Calibri"/>
          <w:b/>
          <w:color w:val="525866"/>
          <w:sz w:val="22"/>
        </w:rPr>
        <w:t xml:space="preserve">Commentary: </w:t>
      </w:r>
      <w:r>
        <w:rPr>
          <w:rFonts w:ascii="Calibri" w:hAnsi="Calibri"/>
          <w:color w:val="525866"/>
          <w:sz w:val="22"/>
        </w:rPr>
        <w:t>All three sales occurred on the same date (May 12, 2026), five days after the Q1 2026 earnings beat, and were filed together on May 14. The clustering on a single date post-earnings is consistent with a post-blackout window opening rather than a coordinated bearish signal. None were flagged as 10b5-1 pre-planned sales, making them technically discretionary; however, the timing (immediately post-earnings, post-blackout) and the relatively modest size of the sales (all under 1,500 shares) reduce the negative read-through. Notably, Laurie Thomson — who sold 313 shares in May — was subsequently appointed interim CFO in July, suggesting no adverse information was the driver. No open-market buys have been filed since the Q1 print. The absence of buying ahead of a print that management guided strongly is not unusual for a company at this valuation level.</w:t>
      </w:r>
    </w:p>
    <w:p>
      <w:r>
        <w:rPr>
          <w:rFonts w:ascii="Calibri" w:hAnsi="Calibri"/>
          <w:i/>
          <w:color w:val="525866"/>
          <w:sz w:val="22"/>
        </w:rPr>
        <w:t xml:space="preserve">Source: </w:t>
      </w:r>
      <w:r>
        <w:rPr>
          <w:rFonts w:ascii="Calibri" w:hAnsi="Calibri"/>
          <w:i/>
          <w:color w:val="525866"/>
          <w:sz w:val="22"/>
        </w:rPr>
        <w:t>SEC Form 4 Filings Database (Insider Transaction Data). Form 4 filing dates used throughout; transaction dates noted separately.</w:t>
      </w:r>
    </w:p>
    <w:p>
      <w:r>
        <w:br w:type="page"/>
      </w:r>
    </w:p>
    <w:p>
      <w:pPr>
        <w:pStyle w:val="Heading2"/>
      </w:pPr>
      <w:r>
        <w:rPr>
          <w:rFonts w:ascii="Calibri" w:hAnsi="Calibri"/>
          <w:b/>
          <w:color w:val="3B4259"/>
          <w:sz w:val="28"/>
        </w:rPr>
        <w:t>Appendix: Valuation Context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Ticker</w:t>
            </w:r>
          </w:p>
        </w:tc>
        <w:tc>
          <w:tcPr>
            <w:tcW w:type="dxa" w:w="1728"/>
            <w:shd w:val="clear" w:color="auto" w:fill="3B4259"/>
          </w:tcPr>
          <w:p>
            <w:r>
              <w:rPr>
                <w:rFonts w:ascii="Calibri" w:hAnsi="Calibri"/>
                <w:b/>
                <w:color w:val="FFFFFF"/>
                <w:sz w:val="22"/>
              </w:rPr>
              <w:t>NTM P/E</w:t>
            </w:r>
          </w:p>
        </w:tc>
        <w:tc>
          <w:tcPr>
            <w:tcW w:type="dxa" w:w="1728"/>
            <w:shd w:val="clear" w:color="auto" w:fill="3B4259"/>
          </w:tcPr>
          <w:p>
            <w:r>
              <w:rPr>
                <w:rFonts w:ascii="Calibri" w:hAnsi="Calibri"/>
                <w:b/>
                <w:color w:val="FFFFFF"/>
                <w:sz w:val="22"/>
              </w:rPr>
              <w:t>Premium / (Discount) to Peer Avg.</w:t>
            </w:r>
          </w:p>
        </w:tc>
        <w:tc>
          <w:tcPr>
            <w:tcW w:type="dxa" w:w="1728"/>
            <w:shd w:val="clear" w:color="auto" w:fill="3B4259"/>
          </w:tcPr>
          <w:p>
            <w:r>
              <w:rPr>
                <w:rFonts w:ascii="Calibri" w:hAnsi="Calibri"/>
                <w:b/>
                <w:color w:val="FFFFFF"/>
                <w:sz w:val="22"/>
              </w:rPr>
              <w:t>3M Multiple Change</w:t>
            </w:r>
          </w:p>
        </w:tc>
        <w:tc>
          <w:tcPr>
            <w:tcW w:type="dxa" w:w="1728"/>
            <w:shd w:val="clear" w:color="auto" w:fill="3B4259"/>
          </w:tcPr>
          <w:p>
            <w:r>
              <w:rPr>
                <w:rFonts w:ascii="Calibri" w:hAnsi="Calibri"/>
                <w:b/>
                <w:color w:val="FFFFFF"/>
                <w:sz w:val="22"/>
              </w:rPr>
              <w:t>1Y Multiple Change</w:t>
            </w:r>
          </w:p>
        </w:tc>
      </w:tr>
      <w:tr>
        <w:tc>
          <w:tcPr>
            <w:tcW w:type="dxa" w:w="1728"/>
          </w:tcPr>
          <w:p>
            <w:r>
              <w:rPr>
                <w:rFonts w:ascii="Calibri" w:hAnsi="Calibri"/>
                <w:b/>
                <w:sz w:val="22"/>
              </w:rPr>
              <w:t>GWW</w:t>
            </w:r>
          </w:p>
        </w:tc>
        <w:tc>
          <w:tcPr>
            <w:tcW w:type="dxa" w:w="1728"/>
          </w:tcPr>
          <w:p>
            <w:r>
              <w:rPr>
                <w:rFonts w:ascii="Calibri" w:hAnsi="Calibri"/>
                <w:b/>
                <w:sz w:val="22"/>
              </w:rPr>
              <w:t>28.5x</w:t>
            </w:r>
          </w:p>
        </w:tc>
        <w:tc>
          <w:tcPr>
            <w:tcW w:type="dxa" w:w="1728"/>
          </w:tcPr>
          <w:p>
            <w:r>
              <w:rPr>
                <w:rFonts w:ascii="Calibri" w:hAnsi="Calibri"/>
                <w:b/>
                <w:sz w:val="22"/>
              </w:rPr>
              <w:t>+27.3%</w:t>
            </w:r>
          </w:p>
        </w:tc>
        <w:tc>
          <w:tcPr>
            <w:tcW w:type="dxa" w:w="1728"/>
          </w:tcPr>
          <w:p>
            <w:r>
              <w:rPr>
                <w:rFonts w:ascii="Calibri" w:hAnsi="Calibri"/>
                <w:sz w:val="22"/>
              </w:rPr>
              <w:t>+13.0%</w:t>
            </w:r>
          </w:p>
        </w:tc>
        <w:tc>
          <w:tcPr>
            <w:tcW w:type="dxa" w:w="1728"/>
          </w:tcPr>
          <w:p>
            <w:r>
              <w:rPr>
                <w:rFonts w:ascii="Calibri" w:hAnsi="Calibri"/>
                <w:sz w:val="22"/>
              </w:rPr>
              <w:t>+30.2%</w:t>
            </w:r>
          </w:p>
        </w:tc>
      </w:tr>
      <w:tr>
        <w:tc>
          <w:tcPr>
            <w:tcW w:type="dxa" w:w="1728"/>
          </w:tcPr>
          <w:p>
            <w:r>
              <w:rPr>
                <w:rFonts w:ascii="Calibri" w:hAnsi="Calibri"/>
                <w:sz w:val="22"/>
              </w:rPr>
              <w:t>FAST</w:t>
            </w:r>
          </w:p>
        </w:tc>
        <w:tc>
          <w:tcPr>
            <w:tcW w:type="dxa" w:w="1728"/>
          </w:tcPr>
          <w:p>
            <w:r>
              <w:rPr>
                <w:rFonts w:ascii="Calibri" w:hAnsi="Calibri"/>
                <w:sz w:val="22"/>
              </w:rPr>
              <w:t>35.6x</w:t>
            </w:r>
          </w:p>
        </w:tc>
        <w:tc>
          <w:tcPr>
            <w:tcW w:type="dxa" w:w="1728"/>
          </w:tcPr>
          <w:p>
            <w:r>
              <w:rPr>
                <w:rFonts w:ascii="Calibri" w:hAnsi="Calibri"/>
                <w:sz w:val="22"/>
              </w:rPr>
              <w:t>+64.1%</w:t>
            </w:r>
          </w:p>
        </w:tc>
        <w:tc>
          <w:tcPr>
            <w:tcW w:type="dxa" w:w="1728"/>
          </w:tcPr>
          <w:p>
            <w:r>
              <w:rPr>
                <w:rFonts w:ascii="Calibri" w:hAnsi="Calibri"/>
                <w:sz w:val="22"/>
              </w:rPr>
              <w:t>+1.6%</w:t>
            </w:r>
          </w:p>
        </w:tc>
        <w:tc>
          <w:tcPr>
            <w:tcW w:type="dxa" w:w="1728"/>
          </w:tcPr>
          <w:p>
            <w:r>
              <w:rPr>
                <w:rFonts w:ascii="Calibri" w:hAnsi="Calibri"/>
                <w:sz w:val="22"/>
              </w:rPr>
              <w:t>−7.5%</w:t>
            </w:r>
          </w:p>
        </w:tc>
      </w:tr>
      <w:tr>
        <w:tc>
          <w:tcPr>
            <w:tcW w:type="dxa" w:w="1728"/>
          </w:tcPr>
          <w:p>
            <w:r>
              <w:rPr>
                <w:rFonts w:ascii="Calibri" w:hAnsi="Calibri"/>
                <w:sz w:val="22"/>
              </w:rPr>
              <w:t>AIT</w:t>
            </w:r>
          </w:p>
        </w:tc>
        <w:tc>
          <w:tcPr>
            <w:tcW w:type="dxa" w:w="1728"/>
          </w:tcPr>
          <w:p>
            <w:r>
              <w:rPr>
                <w:rFonts w:ascii="Calibri" w:hAnsi="Calibri"/>
                <w:sz w:val="22"/>
              </w:rPr>
              <w:t>29.1x</w:t>
            </w:r>
          </w:p>
        </w:tc>
        <w:tc>
          <w:tcPr>
            <w:tcW w:type="dxa" w:w="1728"/>
          </w:tcPr>
          <w:p>
            <w:r>
              <w:rPr>
                <w:rFonts w:ascii="Calibri" w:hAnsi="Calibri"/>
                <w:sz w:val="22"/>
              </w:rPr>
              <w:t>+30.1%</w:t>
            </w:r>
          </w:p>
        </w:tc>
        <w:tc>
          <w:tcPr>
            <w:tcW w:type="dxa" w:w="1728"/>
          </w:tcPr>
          <w:p>
            <w:r>
              <w:rPr>
                <w:rFonts w:ascii="Calibri" w:hAnsi="Calibri"/>
                <w:sz w:val="22"/>
              </w:rPr>
              <w:t>+11.0%</w:t>
            </w:r>
          </w:p>
        </w:tc>
        <w:tc>
          <w:tcPr>
            <w:tcW w:type="dxa" w:w="1728"/>
          </w:tcPr>
          <w:p>
            <w:r>
              <w:rPr>
                <w:rFonts w:ascii="Calibri" w:hAnsi="Calibri"/>
                <w:sz w:val="22"/>
              </w:rPr>
              <w:t>+17.6%</w:t>
            </w:r>
          </w:p>
        </w:tc>
      </w:tr>
      <w:tr>
        <w:tc>
          <w:tcPr>
            <w:tcW w:type="dxa" w:w="1728"/>
          </w:tcPr>
          <w:p>
            <w:r>
              <w:rPr>
                <w:rFonts w:ascii="Calibri" w:hAnsi="Calibri"/>
                <w:sz w:val="22"/>
              </w:rPr>
              <w:t>MSM</w:t>
            </w:r>
          </w:p>
        </w:tc>
        <w:tc>
          <w:tcPr>
            <w:tcW w:type="dxa" w:w="1728"/>
          </w:tcPr>
          <w:p>
            <w:r>
              <w:rPr>
                <w:rFonts w:ascii="Calibri" w:hAnsi="Calibri"/>
                <w:sz w:val="22"/>
              </w:rPr>
              <w:t>22.8x</w:t>
            </w:r>
          </w:p>
        </w:tc>
        <w:tc>
          <w:tcPr>
            <w:tcW w:type="dxa" w:w="1728"/>
          </w:tcPr>
          <w:p>
            <w:r>
              <w:rPr>
                <w:rFonts w:ascii="Calibri" w:hAnsi="Calibri"/>
                <w:sz w:val="22"/>
              </w:rPr>
              <w:t>−0.8%</w:t>
            </w:r>
          </w:p>
        </w:tc>
        <w:tc>
          <w:tcPr>
            <w:tcW w:type="dxa" w:w="1728"/>
          </w:tcPr>
          <w:p>
            <w:r>
              <w:rPr>
                <w:rFonts w:ascii="Calibri" w:hAnsi="Calibri"/>
                <w:sz w:val="22"/>
              </w:rPr>
              <w:t>+6.3%</w:t>
            </w:r>
          </w:p>
        </w:tc>
        <w:tc>
          <w:tcPr>
            <w:tcW w:type="dxa" w:w="1728"/>
          </w:tcPr>
          <w:p>
            <w:r>
              <w:rPr>
                <w:rFonts w:ascii="Calibri" w:hAnsi="Calibri"/>
                <w:sz w:val="22"/>
              </w:rPr>
              <w:t>+7.8%</w:t>
            </w:r>
          </w:p>
        </w:tc>
      </w:tr>
      <w:tr>
        <w:tc>
          <w:tcPr>
            <w:tcW w:type="dxa" w:w="1728"/>
          </w:tcPr>
          <w:p>
            <w:r>
              <w:rPr>
                <w:rFonts w:ascii="Calibri" w:hAnsi="Calibri"/>
                <w:sz w:val="22"/>
              </w:rPr>
              <w:t>WCC</w:t>
            </w:r>
          </w:p>
        </w:tc>
        <w:tc>
          <w:tcPr>
            <w:tcW w:type="dxa" w:w="1728"/>
          </w:tcPr>
          <w:p>
            <w:r>
              <w:rPr>
                <w:rFonts w:ascii="Calibri" w:hAnsi="Calibri"/>
                <w:sz w:val="22"/>
              </w:rPr>
              <w:t>18.3x</w:t>
            </w:r>
          </w:p>
        </w:tc>
        <w:tc>
          <w:tcPr>
            <w:tcW w:type="dxa" w:w="1728"/>
          </w:tcPr>
          <w:p>
            <w:r>
              <w:rPr>
                <w:rFonts w:ascii="Calibri" w:hAnsi="Calibri"/>
                <w:sz w:val="22"/>
              </w:rPr>
              <w:t>−22.0%</w:t>
            </w:r>
          </w:p>
        </w:tc>
        <w:tc>
          <w:tcPr>
            <w:tcW w:type="dxa" w:w="1728"/>
          </w:tcPr>
          <w:p>
            <w:r>
              <w:rPr>
                <w:rFonts w:ascii="Calibri" w:hAnsi="Calibri"/>
                <w:sz w:val="22"/>
              </w:rPr>
              <w:t>−10.0%</w:t>
            </w:r>
          </w:p>
        </w:tc>
        <w:tc>
          <w:tcPr>
            <w:tcW w:type="dxa" w:w="1728"/>
          </w:tcPr>
          <w:p>
            <w:r>
              <w:rPr>
                <w:rFonts w:ascii="Calibri" w:hAnsi="Calibri"/>
                <w:sz w:val="22"/>
              </w:rPr>
              <w:t>+31.1%</w:t>
            </w:r>
          </w:p>
        </w:tc>
      </w:tr>
      <w:tr>
        <w:tc>
          <w:tcPr>
            <w:tcW w:type="dxa" w:w="1728"/>
          </w:tcPr>
          <w:p>
            <w:r>
              <w:rPr>
                <w:rFonts w:ascii="Calibri" w:hAnsi="Calibri"/>
                <w:sz w:val="22"/>
              </w:rPr>
              <w:t>FERG</w:t>
            </w:r>
          </w:p>
        </w:tc>
        <w:tc>
          <w:tcPr>
            <w:tcW w:type="dxa" w:w="1728"/>
          </w:tcPr>
          <w:p>
            <w:r>
              <w:rPr>
                <w:rFonts w:ascii="Calibri" w:hAnsi="Calibri"/>
                <w:sz w:val="22"/>
              </w:rPr>
              <w:t>19.4x</w:t>
            </w:r>
          </w:p>
        </w:tc>
        <w:tc>
          <w:tcPr>
            <w:tcW w:type="dxa" w:w="1728"/>
          </w:tcPr>
          <w:p>
            <w:r>
              <w:rPr>
                <w:rFonts w:ascii="Calibri" w:hAnsi="Calibri"/>
                <w:sz w:val="22"/>
              </w:rPr>
              <w:t>−16.9%</w:t>
            </w:r>
          </w:p>
        </w:tc>
        <w:tc>
          <w:tcPr>
            <w:tcW w:type="dxa" w:w="1728"/>
          </w:tcPr>
          <w:p>
            <w:r>
              <w:rPr>
                <w:rFonts w:ascii="Calibri" w:hAnsi="Calibri"/>
                <w:sz w:val="22"/>
              </w:rPr>
              <w:t>−11.9%</w:t>
            </w:r>
          </w:p>
        </w:tc>
        <w:tc>
          <w:tcPr>
            <w:tcW w:type="dxa" w:w="1728"/>
          </w:tcPr>
          <w:p>
            <w:r>
              <w:rPr>
                <w:rFonts w:ascii="Calibri" w:hAnsi="Calibri"/>
                <w:sz w:val="22"/>
              </w:rPr>
              <w:t>N/A</w:t>
            </w:r>
          </w:p>
        </w:tc>
      </w:tr>
      <w:tr>
        <w:tc>
          <w:tcPr>
            <w:tcW w:type="dxa" w:w="1728"/>
          </w:tcPr>
          <w:p>
            <w:r>
              <w:rPr>
                <w:rFonts w:ascii="Calibri" w:hAnsi="Calibri"/>
                <w:sz w:val="22"/>
              </w:rPr>
              <w:t>CNM</w:t>
            </w:r>
          </w:p>
        </w:tc>
        <w:tc>
          <w:tcPr>
            <w:tcW w:type="dxa" w:w="1728"/>
          </w:tcPr>
          <w:p>
            <w:r>
              <w:rPr>
                <w:rFonts w:ascii="Calibri" w:hAnsi="Calibri"/>
                <w:sz w:val="22"/>
              </w:rPr>
              <w:t>14.5x</w:t>
            </w:r>
          </w:p>
        </w:tc>
        <w:tc>
          <w:tcPr>
            <w:tcW w:type="dxa" w:w="1728"/>
          </w:tcPr>
          <w:p>
            <w:r>
              <w:rPr>
                <w:rFonts w:ascii="Calibri" w:hAnsi="Calibri"/>
                <w:sz w:val="22"/>
              </w:rPr>
              <w:t>−39.1%</w:t>
            </w:r>
          </w:p>
        </w:tc>
        <w:tc>
          <w:tcPr>
            <w:tcW w:type="dxa" w:w="1728"/>
          </w:tcPr>
          <w:p>
            <w:r>
              <w:rPr>
                <w:rFonts w:ascii="Calibri" w:hAnsi="Calibri"/>
                <w:sz w:val="22"/>
              </w:rPr>
              <w:t>−14.6%</w:t>
            </w:r>
          </w:p>
        </w:tc>
        <w:tc>
          <w:tcPr>
            <w:tcW w:type="dxa" w:w="1728"/>
          </w:tcPr>
          <w:p>
            <w:r>
              <w:rPr>
                <w:rFonts w:ascii="Calibri" w:hAnsi="Calibri"/>
                <w:sz w:val="22"/>
              </w:rPr>
              <w:t>−38.9%</w:t>
            </w:r>
          </w:p>
        </w:tc>
      </w:tr>
      <w:tr>
        <w:tc>
          <w:tcPr>
            <w:tcW w:type="dxa" w:w="1728"/>
          </w:tcPr>
          <w:p>
            <w:r>
              <w:rPr>
                <w:rFonts w:ascii="Calibri" w:hAnsi="Calibri"/>
                <w:sz w:val="22"/>
              </w:rPr>
              <w:t>Peer Group Average (ex-GWW)</w:t>
            </w:r>
          </w:p>
        </w:tc>
        <w:tc>
          <w:tcPr>
            <w:tcW w:type="dxa" w:w="1728"/>
          </w:tcPr>
          <w:p>
            <w:r>
              <w:rPr>
                <w:rFonts w:ascii="Calibri" w:hAnsi="Calibri"/>
                <w:sz w:val="22"/>
              </w:rPr>
              <w:t>~22.4x</w:t>
            </w:r>
          </w:p>
        </w:tc>
        <w:tc>
          <w:tcPr>
            <w:tcW w:type="dxa" w:w="1728"/>
          </w:tcPr>
          <w:p>
            <w:r>
              <w:rPr>
                <w:rFonts w:ascii="Calibri" w:hAnsi="Calibri"/>
                <w:sz w:val="22"/>
              </w:rPr>
              <w:t>—</w:t>
            </w:r>
          </w:p>
        </w:tc>
        <w:tc>
          <w:tcPr>
            <w:tcW w:type="dxa" w:w="1728"/>
          </w:tcPr>
          <w:p>
            <w:r>
              <w:rPr>
                <w:rFonts w:ascii="Calibri" w:hAnsi="Calibri"/>
                <w:sz w:val="22"/>
              </w:rPr>
              <w:t>—</w:t>
            </w:r>
          </w:p>
        </w:tc>
        <w:tc>
          <w:tcPr>
            <w:tcW w:type="dxa" w:w="1728"/>
          </w:tcPr>
          <w:p>
            <w:r>
              <w:rPr>
                <w:rFonts w:ascii="Calibri" w:hAnsi="Calibri"/>
                <w:sz w:val="22"/>
              </w:rPr>
              <w:t>—</w:t>
            </w:r>
          </w:p>
        </w:tc>
      </w:tr>
    </w:tbl>
    <w:p>
      <w:r>
        <w:rPr>
          <w:rFonts w:ascii="Calibri" w:hAnsi="Calibri"/>
          <w:i/>
          <w:color w:val="525866"/>
          <w:sz w:val="22"/>
        </w:rPr>
        <w:t xml:space="preserve">Note: </w:t>
      </w:r>
      <w:r>
        <w:rPr>
          <w:rFonts w:ascii="Calibri" w:hAnsi="Calibri"/>
          <w:i/>
          <w:color w:val="525866"/>
          <w:sz w:val="22"/>
        </w:rPr>
        <w:t>NTM P/E multiples as of August 3–4, 2026. Peer group: Industrial Distribution (GWW, FAST, FERG, WCC, WSO, AIT, CNM, BECN, POOL, MSM, SITE, DSGR). GWW's 27% premium to peer average is above its 1-year average premium of ~24% and its 3-year average premium of ~25%, suggesting the stock is modestly stretched on a relative basis. Source: Stock Performance Decomposition Data; Peer Valuation Data.</w:t>
      </w:r>
    </w:p>
    <w:p>
      <w:pPr>
        <w:pStyle w:val="Heading2"/>
      </w:pPr>
      <w:r>
        <w:rPr>
          <w:rFonts w:ascii="Calibri" w:hAnsi="Calibri"/>
          <w:b/>
          <w:color w:val="3B4259"/>
          <w:sz w:val="28"/>
        </w:rPr>
        <w:t>Appendix: Key Risks &amp; Considerations</w:t>
      </w:r>
    </w:p>
    <w:p>
      <w:pPr>
        <w:pStyle w:val="ListBullet"/>
        <w:ind w:left="360" w:hanging="360"/>
      </w:pPr>
      <w:r>
        <w:rPr>
          <w:rFonts w:ascii="Calibri" w:hAnsi="Calibri"/>
          <w:b/>
          <w:color w:val="525866"/>
          <w:sz w:val="22"/>
        </w:rPr>
        <w:t xml:space="preserve">Margin Risk (Downside): </w:t>
      </w:r>
      <w:r>
        <w:rPr>
          <w:rFonts w:ascii="Calibri" w:hAnsi="Calibri"/>
          <w:color w:val="525866"/>
          <w:sz w:val="22"/>
        </w:rPr>
        <w:t>Consensus operating margin (~15.5%) is ~50 bps above management's guided "low 15% range." If private-label FIFO cost drag and fuel leakage land at the high end, operating margin could print below both consensus and guidance, triggering a negative stock reaction despite a potential revenue beat.</w:t>
      </w:r>
    </w:p>
    <w:p>
      <w:pPr>
        <w:pStyle w:val="ListBullet"/>
        <w:ind w:left="360" w:hanging="360"/>
      </w:pPr>
      <w:r>
        <w:rPr>
          <w:rFonts w:ascii="Calibri" w:hAnsi="Calibri"/>
          <w:b/>
          <w:color w:val="525866"/>
          <w:sz w:val="22"/>
        </w:rPr>
        <w:t xml:space="preserve">CFO Transition Uncertainty: </w:t>
      </w:r>
      <w:r>
        <w:rPr>
          <w:rFonts w:ascii="Calibri" w:hAnsi="Calibri"/>
          <w:color w:val="525866"/>
          <w:sz w:val="22"/>
        </w:rPr>
        <w:t>Merriwether's departure (effective September 4) and the interim CFO appointment (Thomson, effective September 5) create leadership uncertainty heading into H2 2026 guidance execution. The permanent CFO search timeline is unknown; a prolonged search could weigh on investor confidence.</w:t>
      </w:r>
    </w:p>
    <w:p>
      <w:pPr>
        <w:pStyle w:val="ListBullet"/>
        <w:ind w:left="360" w:hanging="360"/>
      </w:pPr>
      <w:r>
        <w:rPr>
          <w:rFonts w:ascii="Calibri" w:hAnsi="Calibri"/>
          <w:b/>
          <w:color w:val="525866"/>
          <w:sz w:val="22"/>
        </w:rPr>
        <w:t xml:space="preserve">Valuation Overhang: </w:t>
      </w:r>
      <w:r>
        <w:rPr>
          <w:rFonts w:ascii="Calibri" w:hAnsi="Calibri"/>
          <w:color w:val="525866"/>
          <w:sz w:val="22"/>
        </w:rPr>
        <w:t>At 28.5x NTM P/E (+27% premium to peers), GWW's multiple is above its 1-year and 3-year historical averages. A "meet the guide" quarter without upside surprise may not be sufficient to sustain the current multiple, particularly with the CFO transition as an overhang.</w:t>
      </w:r>
    </w:p>
    <w:p>
      <w:pPr>
        <w:pStyle w:val="ListBullet"/>
        <w:ind w:left="360" w:hanging="360"/>
      </w:pPr>
      <w:r>
        <w:rPr>
          <w:rFonts w:ascii="Calibri" w:hAnsi="Calibri"/>
          <w:b/>
          <w:color w:val="525866"/>
          <w:sz w:val="22"/>
        </w:rPr>
        <w:t xml:space="preserve">Middle East / Fuel Cost Escalation: </w:t>
      </w:r>
      <w:r>
        <w:rPr>
          <w:rFonts w:ascii="Calibri" w:hAnsi="Calibri"/>
          <w:color w:val="525866"/>
          <w:sz w:val="22"/>
        </w:rPr>
        <w:t>If the Middle East conflict escalates, diesel costs could rise further, increasing leakage on large-customer free-shipping contracts. MonotaRO/Japan is more exposed given reliance on energy inputs through the Strait of Hormuz. This risk is not currently in guidance.</w:t>
      </w:r>
    </w:p>
    <w:p>
      <w:pPr>
        <w:pStyle w:val="ListBullet"/>
        <w:ind w:left="360" w:hanging="360"/>
      </w:pPr>
      <w:r>
        <w:rPr>
          <w:rFonts w:ascii="Calibri" w:hAnsi="Calibri"/>
          <w:b/>
          <w:color w:val="525866"/>
          <w:sz w:val="22"/>
        </w:rPr>
        <w:t xml:space="preserve">Tariff Policy Uncertainty: </w:t>
      </w:r>
      <w:r>
        <w:rPr>
          <w:rFonts w:ascii="Calibri" w:hAnsi="Calibri"/>
          <w:color w:val="525866"/>
          <w:sz w:val="22"/>
        </w:rPr>
        <w:t>Section 232 modifications are still being assessed; initial analysis suggests "likely minimal" impact, but the full scope is not yet known. Failure to recover previously paid IEEPA tariffs (where GWW is importer of record) would be an incremental headwind.</w:t>
      </w:r>
    </w:p>
    <w:p>
      <w:pPr>
        <w:pStyle w:val="ListBullet"/>
        <w:ind w:left="360" w:hanging="360"/>
      </w:pPr>
      <w:r>
        <w:rPr>
          <w:rFonts w:ascii="Calibri" w:hAnsi="Calibri"/>
          <w:b/>
          <w:color w:val="525866"/>
          <w:sz w:val="22"/>
        </w:rPr>
        <w:t xml:space="preserve">Demand Sustainability: </w:t>
      </w:r>
      <w:r>
        <w:rPr>
          <w:rFonts w:ascii="Calibri" w:hAnsi="Calibri"/>
          <w:color w:val="525866"/>
          <w:sz w:val="22"/>
        </w:rPr>
        <w:t>The Q1 2026 demand inflection was exceptional (+12.2% daily organic CC growth vs. 7.7% consensus). Q2 guidance of "approaching 12%" implies the inflection is sustained but not accelerating. Any softening in manufacturing or contractor end markets in May–June could cause Q2 to print below the guided range.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