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HONA is</w:t>
      </w:r>
      <w:r>
        <w:t xml:space="preserve"> </w:t>
      </w:r>
      <w:r>
        <w:rPr>
          <w:b/>
          <w:bCs/>
        </w:rPr>
        <w:t xml:space="preserve">Honeywell Aerospace</w:t>
      </w:r>
      <w:r>
        <w:t xml:space="preserve">, recently spun off from Honeywell International. Let me research further.I now have enough to write the preview. Here it is:</w:t>
      </w:r>
    </w:p>
    <w:p>
      <w:r>
        <w:pict>
          <v:rect style="width:0;height:1.5pt" o:hralign="center" o:hrstd="t" o:hr="t"/>
        </w:pict>
      </w:r>
    </w:p>
    <w:bookmarkStart w:id="16" w:name="Xc37312aa77e1d572cc5f771380b16d50fc58c67"/>
    <w:p>
      <w:pPr>
        <w:pStyle w:val="Heading1"/>
      </w:pPr>
      <w:r>
        <w:t xml:space="preserve">Honeywell Aerospace (HONA) — Q2 2026 Earnings Preview</w:t>
      </w:r>
    </w:p>
    <w:bookmarkStart w:id="9" w:name="X9d0f34e56b8faf62181815ee96eed9d0e8d343d"/>
    <w:p>
      <w:pPr>
        <w:pStyle w:val="Heading3"/>
      </w:pPr>
      <w:r>
        <w:t xml:space="preserve">First standalone report | Reports Wed, Aug 5, 2026, after close (5:00 pm EDT conference call)</w:t>
      </w:r>
    </w:p>
    <w:bookmarkEnd w:id="9"/>
    <w:bookmarkStart w:id="10" w:name="why-this-print-matters-more-than-usual"/>
    <w:p>
      <w:pPr>
        <w:pStyle w:val="Heading2"/>
      </w:pPr>
      <w:r>
        <w:t xml:space="preserve">Why this print matters more than usual</w:t>
      </w:r>
    </w:p>
    <w:p>
      <w:pPr>
        <w:pStyle w:val="FirstParagraph"/>
      </w:pPr>
      <w:r>
        <w:t xml:space="preserve">This is</w:t>
      </w:r>
      <w:r>
        <w:t xml:space="preserve"> </w:t>
      </w:r>
      <w:r>
        <w:rPr>
          <w:b/>
          <w:bCs/>
        </w:rPr>
        <w:t xml:space="preserve">HONA's first earnings report as an independent company</w:t>
      </w:r>
      <w:r>
        <w:t xml:space="preserve">. Honeywell Aerospace was spun off from Honeywell International on</w:t>
      </w:r>
      <w:r>
        <w:t xml:space="preserve"> </w:t>
      </w:r>
      <w:r>
        <w:rPr>
          <w:b/>
          <w:bCs/>
        </w:rPr>
        <w:t xml:space="preserve">June 29, 2026</w:t>
      </w:r>
      <w:r>
        <w:t xml:space="preserve"> </w:t>
      </w:r>
      <w:r>
        <w:t xml:space="preserve">(one HONA share per two HON shares, plus a reverse split), completing Honeywell's break-up into a pure-play automation company (HON, now "Honeywell Technologies") and a standalone tier-1 aerospace &amp; defense supplier (HONA). The market has almost no standalone track record to anchor on, so investors will be scrutinizing:</w:t>
      </w:r>
    </w:p>
    <w:p>
      <w:pPr>
        <w:pStyle w:val="Compact"/>
        <w:numPr>
          <w:ilvl w:val="0"/>
          <w:numId w:val="1001"/>
        </w:numPr>
      </w:pPr>
      <w:r>
        <w:t xml:space="preserve">Whether the</w:t>
      </w:r>
      <w:r>
        <w:t xml:space="preserve"> </w:t>
      </w:r>
      <w:r>
        <w:rPr>
          <w:b/>
          <w:bCs/>
        </w:rPr>
        <w:t xml:space="preserve">standalone P&amp;L</w:t>
      </w:r>
      <w:r>
        <w:t xml:space="preserve"> </w:t>
      </w:r>
      <w:r>
        <w:t xml:space="preserve">(with fully allocated corporate costs, its own capital structure/interest expense, and standalone tax rate) matches the "clean" segment math investors have been modeling off the old Aerospace Technologies segment.</w:t>
      </w:r>
    </w:p>
    <w:p>
      <w:pPr>
        <w:pStyle w:val="Compact"/>
        <w:numPr>
          <w:ilvl w:val="0"/>
          <w:numId w:val="1001"/>
        </w:numPr>
      </w:pPr>
      <w:r>
        <w:t xml:space="preserve">Whether management</w:t>
      </w:r>
      <w:r>
        <w:t xml:space="preserve"> </w:t>
      </w:r>
      <w:r>
        <w:rPr>
          <w:b/>
          <w:bCs/>
        </w:rPr>
        <w:t xml:space="preserve">initiates formal standalone 2026 guidance / financial framework</w:t>
      </w:r>
      <w:r>
        <w:t xml:space="preserve"> </w:t>
      </w:r>
      <w:r>
        <w:t xml:space="preserve">— the key event of the call.</w:t>
      </w:r>
    </w:p>
    <w:p>
      <w:pPr>
        <w:pStyle w:val="Compact"/>
        <w:numPr>
          <w:ilvl w:val="0"/>
          <w:numId w:val="1001"/>
        </w:numPr>
      </w:pPr>
      <w:r>
        <w:t xml:space="preserve">Progress on the</w:t>
      </w:r>
      <w:r>
        <w:t xml:space="preserve"> </w:t>
      </w:r>
      <w:r>
        <w:rPr>
          <w:b/>
          <w:bCs/>
        </w:rPr>
        <w:t xml:space="preserve">supply-chain bottleneck</w:t>
      </w:r>
      <w:r>
        <w:t xml:space="preserve"> </w:t>
      </w:r>
      <w:r>
        <w:t xml:space="preserve">that has been capping revenue conversion of a record backlog.</w:t>
      </w:r>
    </w:p>
    <w:p>
      <w:pPr>
        <w:pStyle w:val="FirstParagraph"/>
      </w:pPr>
      <w:r>
        <w:t xml:space="preserve">Management has flagged that standalone results</w:t>
      </w:r>
      <w:r>
        <w:t xml:space="preserve"> </w:t>
      </w:r>
      <w:r>
        <w:rPr>
          <w:b/>
          <w:bCs/>
        </w:rPr>
        <w:t xml:space="preserve">may differ meaningfully from the old segment disclosures</w:t>
      </w:r>
      <w:r>
        <w:t xml:space="preserve"> </w:t>
      </w:r>
      <w:r>
        <w:t xml:space="preserve">due to the transaction perimeter, corporate cost allocation, and intracompany-transaction treatment — so headline comparisons to prior "Aerospace Technologies segment" figures could be noisy.</w:t>
      </w:r>
    </w:p>
    <w:bookmarkEnd w:id="10"/>
    <w:bookmarkStart w:id="11" w:name="the-numbers-to-watch"/>
    <w:p>
      <w:pPr>
        <w:pStyle w:val="Heading2"/>
      </w:pPr>
      <w:r>
        <w:t xml:space="preserve">The numbers to watch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Consensus (Zacks):</w:t>
      </w:r>
      <w:r>
        <w:t xml:space="preserve"> </w:t>
      </w:r>
      <w:r>
        <w:t xml:space="preserve">~</w:t>
      </w:r>
      <m:oMath>
        <m:r>
          <m:t>2.07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o</m:t>
        </m:r>
        <m:r>
          <m:t>n</m:t>
        </m:r>
        <m:r>
          <m:t> 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4.67B</w:t>
      </w:r>
      <w:r>
        <w:t xml:space="preserve"> </w:t>
      </w:r>
      <w:r>
        <w:t xml:space="preserve">revenue for Q2. Zacks flags a modestly positive Earnings ESP (~+1.3%) but its model "does not predict a beat," and the stock carries a middling Zacks Rank.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Read-through from the parent:</w:t>
      </w:r>
      <w:r>
        <w:t xml:space="preserve"> </w:t>
      </w:r>
      <w:r>
        <w:t xml:space="preserve">In HON's Q2 report (July 23), the</w:t>
      </w:r>
      <w:r>
        <w:t xml:space="preserve"> </w:t>
      </w:r>
      <w:r>
        <w:rPr>
          <w:b/>
          <w:bCs/>
        </w:rPr>
        <w:t xml:space="preserve">legacy Aerospace Technologies segment posted ~$4.5B of sales, up ~5% organically YoY</w:t>
      </w:r>
      <w:r>
        <w:t xml:space="preserve">. HON noted</w:t>
      </w:r>
      <w:r>
        <w:t xml:space="preserve"> </w:t>
      </w:r>
      <w:r>
        <w:rPr>
          <w:b/>
          <w:bCs/>
        </w:rPr>
        <w:t xml:space="preserve">mechanical supply-chain improved sequentially, but material supply continued to limit sales growth</w:t>
      </w:r>
      <w:r>
        <w:t xml:space="preserve"> </w:t>
      </w:r>
      <w:r>
        <w:t xml:space="preserve">— the single most important operational swing factor for HONA. The standalone $4.67B consensus is above the $4.5B segment figure, reflecting the wider standalone perimeter.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Backlog:</w:t>
      </w:r>
      <w:r>
        <w:t xml:space="preserve"> </w:t>
      </w:r>
      <w:r>
        <w:t xml:space="preserve">the marquee bull-case metric. Management has cited backlog</w:t>
      </w:r>
      <w:r>
        <w:t xml:space="preserve"> </w:t>
      </w:r>
      <w:r>
        <w:rPr>
          <w:b/>
          <w:bCs/>
        </w:rPr>
        <w:t xml:space="preserve">exceeding $19B, up ~20% YoY</w:t>
      </w:r>
      <w:r>
        <w:t xml:space="preserve">, with past-due obligations stretching into 2027. Watch for the updated backlog figure and, crucially, the</w:t>
      </w:r>
      <w:r>
        <w:t xml:space="preserve"> </w:t>
      </w:r>
      <w:r>
        <w:rPr>
          <w:b/>
          <w:bCs/>
        </w:rPr>
        <w:t xml:space="preserve">book-to-bill and any commentary on the pace of converting orders into revenue</w:t>
      </w:r>
      <w:r>
        <w:t xml:space="preserve">.</w:t>
      </w:r>
    </w:p>
    <w:bookmarkEnd w:id="11"/>
    <w:bookmarkStart w:id="12" w:name="business-mix-whats-driving-results"/>
    <w:p>
      <w:pPr>
        <w:pStyle w:val="Heading2"/>
      </w:pPr>
      <w:r>
        <w:t xml:space="preserve">Business mix (what's driving results)</w:t>
      </w:r>
    </w:p>
    <w:p>
      <w:pPr>
        <w:pStyle w:val="FirstParagraph"/>
      </w:pPr>
      <w:r>
        <w:t xml:space="preserve">HONA reports in three segments —</w:t>
      </w:r>
      <w:r>
        <w:t xml:space="preserve"> </w:t>
      </w:r>
      <w:r>
        <w:rPr>
          <w:b/>
          <w:bCs/>
        </w:rPr>
        <w:t xml:space="preserve">Electronic Solutions, Engines &amp; Power Systems, and Control Systems</w:t>
      </w:r>
      <w:r>
        <w:t xml:space="preserve"> </w:t>
      </w:r>
      <w:r>
        <w:t xml:space="preserve">— and generates roughly $15B in annual revenue with 36,000+ employees and 10,000+ customers. The end-market mix (FY25 basis) skews toward high-margin, recurring revenue: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Commercial aftermarket ~40%</w:t>
      </w:r>
      <w:r>
        <w:t xml:space="preserve"> </w:t>
      </w:r>
      <w:r>
        <w:t xml:space="preserve">(the profit engine; tracks flight hours / air-traffic demand)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Defense &amp; Space ~45%</w:t>
      </w:r>
      <w:r>
        <w:t xml:space="preserve"> </w:t>
      </w:r>
      <w:r>
        <w:t xml:space="preserve">(recently boosted by the CAES and Civitanavi acquisitions, ~$485M of inorganic sales added from Sept 2025)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Commercial OE ~15%</w:t>
      </w:r>
      <w:r>
        <w:t xml:space="preserve"> </w:t>
      </w:r>
      <w:r>
        <w:t xml:space="preserve">(leverage to Airbus/Boeing build rates)</w:t>
      </w:r>
    </w:p>
    <w:p>
      <w:pPr>
        <w:pStyle w:val="FirstParagraph"/>
      </w:pPr>
      <w:r>
        <w:t xml:space="preserve">Because aftermarket and defense dominate, HONA is less exposed to OEM build-rate volatility than pure OE suppliers — but more exposed to its</w:t>
      </w:r>
      <w:r>
        <w:t xml:space="preserve"> </w:t>
      </w:r>
      <w:r>
        <w:rPr>
          <w:b/>
          <w:bCs/>
        </w:rPr>
        <w:t xml:space="preserve">own supply base's ability to produce at rate</w:t>
      </w:r>
      <w:r>
        <w:t xml:space="preserve">.</w:t>
      </w:r>
    </w:p>
    <w:bookmarkEnd w:id="12"/>
    <w:bookmarkStart w:id="13" w:name="key-themes--catalysts-for-the-call"/>
    <w:p>
      <w:pPr>
        <w:pStyle w:val="Heading2"/>
      </w:pPr>
      <w:r>
        <w:t xml:space="preserve">Key themes / catalysts for the call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Standalone guidance &amp; capital allocation framework</w:t>
      </w:r>
      <w:r>
        <w:t xml:space="preserve"> </w:t>
      </w:r>
      <w:r>
        <w:t xml:space="preserve">— first-time 2026 revenue, margin, EPS, and free-cash-flow targets; dividend policy and buyback intentions; leverage/net-debt after the recent notes exchange offer.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Supply chain</w:t>
      </w:r>
      <w:r>
        <w:t xml:space="preserve"> </w:t>
      </w:r>
      <w:r>
        <w:t xml:space="preserve">— CEO</w:t>
      </w:r>
      <w:r>
        <w:t xml:space="preserve"> </w:t>
      </w:r>
      <w:r>
        <w:rPr>
          <w:b/>
          <w:bCs/>
        </w:rPr>
        <w:t xml:space="preserve">Jim Currier</w:t>
      </w:r>
      <w:r>
        <w:t xml:space="preserve"> </w:t>
      </w:r>
      <w:r>
        <w:t xml:space="preserve">has named</w:t>
      </w:r>
      <w:r>
        <w:t xml:space="preserve"> </w:t>
      </w:r>
      <w:r>
        <w:rPr>
          <w:b/>
          <w:bCs/>
        </w:rPr>
        <w:t xml:space="preserve">supplier investment the top capital priority</w:t>
      </w:r>
      <w:r>
        <w:t xml:space="preserve">, including a</w:t>
      </w:r>
      <w:r>
        <w:t xml:space="preserve"> </w:t>
      </w:r>
      <w:r>
        <w:rPr>
          <w:b/>
          <w:bCs/>
        </w:rPr>
        <w:t xml:space="preserve">~$500M commitment</w:t>
      </w:r>
      <w:r>
        <w:t xml:space="preserve"> </w:t>
      </w:r>
      <w:r>
        <w:t xml:space="preserve">to expand navigation-systems and Assure missile production. Progress here gates the backlog-to-revenue conversion.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Margins</w:t>
      </w:r>
      <w:r>
        <w:t xml:space="preserve"> </w:t>
      </w:r>
      <w:r>
        <w:t xml:space="preserve">— Engines &amp; Power Systems is structurally lower-margin than the rest of the portfolio; watch standalone segment margins and whether dis-synergies/stranded corporate costs weigh on profitability.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New wins</w:t>
      </w:r>
      <w:r>
        <w:t xml:space="preserve"> </w:t>
      </w:r>
      <w:r>
        <w:t xml:space="preserve">— the record</w:t>
      </w:r>
      <w:r>
        <w:t xml:space="preserve"> </w:t>
      </w:r>
      <w:r>
        <w:rPr>
          <w:b/>
          <w:bCs/>
        </w:rPr>
        <w:t xml:space="preserve">IndiGo award</w:t>
      </w:r>
      <w:r>
        <w:t xml:space="preserve"> </w:t>
      </w:r>
      <w:r>
        <w:t xml:space="preserve">(avionics + APUs across 810 A320neo aircraft, described as Honeywell's largest new-aircraft-selectable equipment win ever) plus a mission-systems collaboration with Enigma Aerospace point to a healthy OE pipeline and long-tail aftermarket.</w:t>
      </w:r>
    </w:p>
    <w:bookmarkEnd w:id="13"/>
    <w:bookmarkStart w:id="14" w:name="sentiment-valuation--positioning"/>
    <w:p>
      <w:pPr>
        <w:pStyle w:val="Heading2"/>
      </w:pPr>
      <w:r>
        <w:t xml:space="preserve">Sentiment, valuation &amp; positioning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Stock action:</w:t>
      </w:r>
      <w:r>
        <w:t xml:space="preserve"> </w:t>
      </w:r>
      <w:r>
        <w:t xml:space="preserve">HONA opened around</w:t>
      </w:r>
      <w:r>
        <w:t xml:space="preserve"> </w:t>
      </w:r>
      <m:oMath>
        <m:r>
          <m:t>220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s</m:t>
        </m:r>
        <m:r>
          <m:t>p</m:t>
        </m:r>
        <m:r>
          <m:t>i</m:t>
        </m:r>
        <m:r>
          <m:t>n</m:t>
        </m:r>
        <m:r>
          <m:t>a</m:t>
        </m:r>
        <m:r>
          <m:t>n</m:t>
        </m:r>
        <m:r>
          <m:t>d</m:t>
        </m:r>
        <m:r>
          <m:t>h</m:t>
        </m:r>
        <m:r>
          <m:t>a</m:t>
        </m:r>
        <m:r>
          <m:t>s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d</m:t>
        </m:r>
        <m:r>
          <m:t>r</m:t>
        </m:r>
        <m:r>
          <m:t>i</m:t>
        </m:r>
        <m:r>
          <m:t>f</m:t>
        </m:r>
        <m:r>
          <m:t>t</m:t>
        </m:r>
        <m:r>
          <m:t>e</m:t>
        </m:r>
        <m:r>
          <m:t>d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rPr>
            <m:sty m:val="p"/>
          </m:rPr>
          <m:t>,</m:t>
        </m:r>
        <m:r>
          <m:t>t</m:t>
        </m:r>
        <m:r>
          <m:t>o</m:t>
        </m:r>
        <m:r>
          <m:t>u</m:t>
        </m:r>
        <m:r>
          <m:t>c</m:t>
        </m:r>
        <m:r>
          <m:t>h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</m:oMath>
      <w:r>
        <w:rPr>
          <w:b/>
          <w:bCs/>
        </w:rPr>
        <w:t xml:space="preserve">190s (near its ~</w:t>
      </w:r>
      <m:oMath>
        <m:r>
          <m:t>192</m:t>
        </m:r>
        <m:r>
          <m:t>52</m:t>
        </m:r>
        <m:r>
          <m:rPr>
            <m:sty m:val="p"/>
          </m:rPr>
          <m:t>−</m:t>
        </m:r>
        <m:r>
          <m:t>w</m:t>
        </m:r>
        <m:r>
          <m:t>e</m:t>
        </m:r>
        <m:r>
          <m:t>e</m:t>
        </m:r>
        <m:r>
          <m:t>k</m:t>
        </m:r>
        <m:r>
          <m:t>l</m:t>
        </m:r>
        <m:r>
          <m:t>o</m:t>
        </m:r>
        <m:r>
          <m:t>w</m:t>
        </m:r>
        <m:r>
          <m:rPr>
            <m:sty m:val="p"/>
          </m:rPr>
          <m:t>)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t>H</m:t>
        </m:r>
        <m:r>
          <m:t>O</m:t>
        </m:r>
        <m:sSup>
          <m:e>
            <m:r>
              <m:t>N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J</m:t>
        </m:r>
        <m:r>
          <m:t>u</m:t>
        </m:r>
        <m:r>
          <m:t>l</m:t>
        </m:r>
        <m:r>
          <m:t>y</m:t>
        </m:r>
        <m:r>
          <m:t>23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216</w:t>
      </w:r>
      <w:r>
        <w:t xml:space="preserve"> </w:t>
      </w:r>
      <w:r>
        <w:t xml:space="preserve">by Aug 4 (52-week high</w:t>
      </w:r>
      <w:r>
        <w:t xml:space="preserve"> </w:t>
      </w:r>
      <m:oMath>
        <m:r>
          <m:t>297.50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N</m:t>
        </m:r>
        <m:r>
          <m:t>o</m:t>
        </m:r>
        <m:r>
          <m:t>t</m:t>
        </m:r>
        <m:r>
          <m:t>a</m:t>
        </m:r>
        <m:r>
          <m:t>b</m:t>
        </m:r>
        <m:r>
          <m:t>l</m:t>
        </m:r>
        <m:r>
          <m:t>y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H</m:t>
        </m:r>
        <m:r>
          <m:t>O</m:t>
        </m:r>
        <m:r>
          <m:t>N</m:t>
        </m:r>
        <m:r>
          <m:t>A</m:t>
        </m:r>
        <m:r>
          <m:t>h</m:t>
        </m:r>
        <m:r>
          <m:t>a</m:t>
        </m:r>
        <m:r>
          <m:t>s</m:t>
        </m:r>
        <m:r>
          <m:t>l</m:t>
        </m:r>
        <m:r>
          <m:t>a</m:t>
        </m:r>
        <m:r>
          <m:t>g</m:t>
        </m:r>
        <m:r>
          <m:t>g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t>p</m:t>
        </m:r>
        <m:r>
          <m:t>a</m:t>
        </m:r>
        <m:r>
          <m:t>r</m:t>
        </m:r>
        <m:r>
          <m:t>e</m:t>
        </m:r>
        <m:r>
          <m:t>n</m:t>
        </m:r>
        <m:r>
          <m:t>t</m:t>
        </m:r>
        <m:r>
          <m:t>H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c</m:t>
        </m:r>
        <m:r>
          <m:t>h</m:t>
        </m:r>
        <m:r>
          <m:t>h</m:t>
        </m:r>
        <m:r>
          <m:t>a</m:t>
        </m:r>
        <m:r>
          <m:t>s</m:t>
        </m:r>
        <m:r>
          <m:t>c</m:t>
        </m:r>
        <m:r>
          <m:t>l</m:t>
        </m:r>
        <m:r>
          <m:t>i</m:t>
        </m:r>
        <m:r>
          <m:t>m</m:t>
        </m:r>
        <m:r>
          <m:t>b</m:t>
        </m:r>
        <m:r>
          <m:t>e</m:t>
        </m:r>
        <m:r>
          <m:t>d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240s over the same window — a divergence worth understanding.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Analysts:</w:t>
      </w:r>
      <w:r>
        <w:t xml:space="preserve"> </w:t>
      </w:r>
      <w:r>
        <w:t xml:space="preserve">~12–13 sell-side firms have initiated since the spin; consensus price target sits near</w:t>
      </w:r>
      <w:r>
        <w:t xml:space="preserve"> </w:t>
      </w:r>
      <w:r>
        <w:rPr>
          <w:b/>
          <w:bCs/>
        </w:rPr>
        <w:t xml:space="preserve">$254</w:t>
      </w:r>
      <w:r>
        <w:t xml:space="preserve">, implying meaningful upside. Morgan Stanley's Kristine Liwag started at</w:t>
      </w:r>
      <w:r>
        <w:t xml:space="preserve"> </w:t>
      </w:r>
      <w:r>
        <w:rPr>
          <w:b/>
          <w:bCs/>
        </w:rPr>
        <w:t xml:space="preserve">Equal-weight, $255</w:t>
      </w:r>
      <w:r>
        <w:t xml:space="preserve"> </w:t>
      </w:r>
      <w:r>
        <w:t xml:space="preserve">(July 8), reflecting a "quality franchise, but valuation leaves little room for early stumbles" tone.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Valuation:</w:t>
      </w:r>
      <w:r>
        <w:t xml:space="preserve"> </w:t>
      </w:r>
      <w:r>
        <w:t xml:space="preserve">~</w:t>
      </w:r>
      <w:r>
        <w:rPr>
          <w:b/>
          <w:bCs/>
        </w:rPr>
        <w:t xml:space="preserve">23x forward EPS</w:t>
      </w:r>
      <w:r>
        <w:t xml:space="preserve"> </w:t>
      </w:r>
      <w:r>
        <w:t xml:space="preserve">— a discount to the aerospace/defense sub-industry (~41x) but a premium to the S&amp;P 500 (~21x). Consensus models low-to-mid-teens EPS CAGR. The setup means</w:t>
      </w:r>
      <w:r>
        <w:t xml:space="preserve"> </w:t>
      </w:r>
      <w:r>
        <w:rPr>
          <w:b/>
          <w:bCs/>
        </w:rPr>
        <w:t xml:space="preserve">execution matters</w:t>
      </w:r>
      <w:r>
        <w:t xml:space="preserve">: with valuation full relative to the broad market, a supply-chain or guidance disappointment on the first print could be punished.</w:t>
      </w:r>
    </w:p>
    <w:bookmarkEnd w:id="14"/>
    <w:bookmarkStart w:id="1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debut quarter is less about the exact</w:t>
      </w:r>
      <w:r>
        <w:t xml:space="preserve"> </w:t>
      </w:r>
      <m:oMath>
        <m:r>
          <m:t>2.07</m:t>
        </m:r>
        <m:r>
          <m:rPr>
            <m:sty m:val="p"/>
          </m:rPr>
          <m:t>/</m:t>
        </m:r>
      </m:oMath>
      <w:r>
        <w:t xml:space="preserve">4.67B consensus print and more about</w:t>
      </w:r>
      <w:r>
        <w:t xml:space="preserve"> </w:t>
      </w:r>
      <w:r>
        <w:rPr>
          <w:b/>
          <w:bCs/>
        </w:rPr>
        <w:t xml:space="preserve">(1) whether standalone economics confirm the ~$15B-revenue, aftermarket-and-defense-heavy, high-backlog thesis, and (2) the first official guidance and capital-return framework.</w:t>
      </w:r>
      <w:r>
        <w:t xml:space="preserve"> </w:t>
      </w:r>
      <w:r>
        <w:t xml:space="preserve">The bull case rests on a record, fast-growing backlog and rich aftermarket mix; the bear case is that</w:t>
      </w:r>
      <w:r>
        <w:t xml:space="preserve"> </w:t>
      </w:r>
      <w:r>
        <w:rPr>
          <w:b/>
          <w:bCs/>
        </w:rPr>
        <w:t xml:space="preserve">supply-chain/material constraints keep capping how fast that backlog converts to revenue</w:t>
      </w:r>
      <w:r>
        <w:t xml:space="preserve">, while the stock already prices in a lot of the recovery. Expect the call — not the headline EPS — to move the stock, with</w:t>
      </w:r>
      <w:r>
        <w:t xml:space="preserve"> </w:t>
      </w:r>
      <w:r>
        <w:rPr>
          <w:b/>
          <w:bCs/>
        </w:rPr>
        <w:t xml:space="preserve">supply-chain conversion, standalone margins, and inaugural guidance</w:t>
      </w:r>
      <w:r>
        <w:t xml:space="preserve"> </w:t>
      </w:r>
      <w:r>
        <w:t xml:space="preserve">as the swing factors.</w:t>
      </w:r>
    </w:p>
    <w:p>
      <w:pPr>
        <w:pStyle w:val="BodyText"/>
      </w:pPr>
      <w:r>
        <w:rPr>
          <w:i/>
          <w:iCs/>
        </w:rPr>
        <w:t xml:space="preserve">Note: Figures above are drawn from Honeywell's Q2 2026 parent disclosures, HONA's spin-off filings and press materials, sell-side commentary, and market data through Aug 4, 2026. Consensus and estimates are subject to revision; verify against the company's actual release.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2026-08-05T00:43:03Z</dcterms:created>
  <dcterms:modified xsi:type="dcterms:W3CDTF">2026-08-05T00:43:03Z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