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na-earnings-predictions--2026-08-05"/>
    <w:p>
      <w:pPr>
        <w:pStyle w:val="Heading1"/>
      </w:pPr>
      <w:r>
        <w:t xml:space="preserve">HONA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Standalone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~$4.58B vs. cons $4.67B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~$2.00 vs. cons $2.07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Segment/EBIT Profit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1.00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4.65</m:t>
              </m:r>
              <m:r>
                <m:rPr>
                  <m:sty m:val="p"/>
                </m:rPr>
                <m:t>−</m:t>
              </m:r>
              <m:r>
                <m:t>4.75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4.70B) vs. cons ~$4.72B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Free Cash Flow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</m:t>
              </m:r>
              <m:r>
                <m:rPr>
                  <m:sty m:val="p"/>
                </m:rPr>
                <m:t>−</m:t>
              </m:r>
              <m:r>
                <m:t>1.2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l</m:t>
              </m:r>
              <m:r>
                <m:t>o</m:t>
              </m:r>
              <m:r>
                <m:t>w</m:t>
              </m:r>
              <m:r>
                <m:t>e</m:t>
              </m:r>
              <m:r>
                <m:t>n</m:t>
              </m:r>
              <m:r>
                <m:t>d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1.3B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Material supply-chain/OE recoupling commentary (Q3 outlook)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~gradual easing narrative, no explicit number vs. cons ~full resolution by Q4 2026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-3.2% (FOLLOW-THROUGH)</w:t>
            </w:r>
          </w:p>
        </w:tc>
        <w:tc>
          <w:tcPr/>
          <w:p>
            <w:pPr>
              <w:pStyle w:val="Compact"/>
            </w:pPr>
            <w:r>
              <w:t xml:space="preserve">Reaffirming FY26 EBIT guidance after Q2 profit growth (+2%) again lagged sales growth (+5%) implicitly raises the bar for H2 acceleration; combined with carve-out stranded-cost dilution and persistent material-supply constraints, sell-side is likely to trim out-quarter EPS/EBIT estimates even if the headline Q2 print is roughly in line, producing continued downward drift over the week rather than an immediate reversal.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2026-08-05T00:44:40Z</dcterms:created>
  <dcterms:modified xsi:type="dcterms:W3CDTF">2026-08-05T00:44:40Z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