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6" w:name="Xc37312aa77e1d572cc5f771380b16d50fc58c67"/>
    <w:p>
      <w:pPr>
        <w:pStyle w:val="Heading1"/>
      </w:pPr>
      <w:r>
        <w:t xml:space="preserve">Honeywell Aerospace (HONA) — Q2 2026 Earnings Preview</w:t>
      </w:r>
    </w:p>
    <w:p>
      <w:pPr>
        <w:pStyle w:val="FirstParagraph"/>
      </w:pPr>
      <w:r>
        <w:rPr>
          <w:b/>
          <w:bCs/>
        </w:rPr>
        <w:t xml:space="preserve">Report date:</w:t>
      </w:r>
      <w:r>
        <w:t xml:space="preserve"> </w:t>
      </w:r>
      <w:r>
        <w:t xml:space="preserve">Wednesday, August 5, 2026, after market close, with a call at 5:00pm ET</w:t>
      </w:r>
    </w:p>
    <w:bookmarkStart w:id="9" w:name="the-setup-a-first-of-its-kind-report"/>
    <w:p>
      <w:pPr>
        <w:pStyle w:val="Heading2"/>
      </w:pPr>
      <w:r>
        <w:t xml:space="preserve">The Setup: A First-of-its-Kind Report</w:t>
      </w:r>
    </w:p>
    <w:p>
      <w:pPr>
        <w:pStyle w:val="FirstParagraph"/>
      </w:pPr>
      <w:r>
        <w:t xml:space="preserve">Tomorrow's print is unusual: it is HONA's</w:t>
      </w:r>
      <w:r>
        <w:t xml:space="preserve"> </w:t>
      </w:r>
      <w:r>
        <w:rPr>
          <w:b/>
          <w:bCs/>
        </w:rPr>
        <w:t xml:space="preserve">first-ever standalone quarterly report</w:t>
      </w:r>
      <w:r>
        <w:t xml:space="preserve"> </w:t>
      </w:r>
      <w:r>
        <w:t xml:space="preserve">as an independent public company. Honeywell Aerospace has traded as an independent, public company since June 29, 2026, following its spin-off from Honeywell International (now "Honeywell Technologies," ticker HON). Notably, HON already pre-announced the underlying business's Q2 performance on July 23 as part of its own consolidated results (which still legally included Aerospace for the stub period), but Honeywell Aerospace announced that it will issue its second quarter results on a standalone basis after market close on August 5 because the creation of carve-out financial statements requires a lengthier closing process. Investors should note that consistent with precedent spin-off transactions, its standalone financial results may differ from financial information reported for the former Honeywell Technologies segment due to the perimeter of the transaction, allocation of corporate costs, and treatment of intracompany transactions, among other items — so tomorrow's carve-out numbers won't be perfectly apples-to-apples with the "legacy segment" figures already disclosed.</w:t>
      </w:r>
    </w:p>
    <w:bookmarkEnd w:id="9"/>
    <w:bookmarkStart w:id="10" w:name="X19ee01e62e0590a2d52bd0ce481e95c9a3453f8"/>
    <w:p>
      <w:pPr>
        <w:pStyle w:val="Heading2"/>
      </w:pPr>
      <w:r>
        <w:t xml:space="preserve">What We Already Know: The Legacy Segment Print (July 23)</w:t>
      </w:r>
    </w:p>
    <w:p>
      <w:pPr>
        <w:pStyle w:val="FirstParagraph"/>
      </w:pPr>
      <w:r>
        <w:t xml:space="preserve">Because HON reported the old "Aerospace Technologies" segment as part of its Q2 release, we have a strong preview of underlying trends:</w:t>
      </w:r>
    </w:p>
    <w:p>
      <w:pPr>
        <w:pStyle w:val="Compact"/>
        <w:numPr>
          <w:ilvl w:val="0"/>
          <w:numId w:val="1001"/>
        </w:numPr>
      </w:pPr>
      <w:r>
        <w:t xml:space="preserve">Aerospace Technologies segment sales of $4.5 billion grew 5% organically year over year.</w:t>
      </w:r>
    </w:p>
    <w:p>
      <w:pPr>
        <w:pStyle w:val="Compact"/>
        <w:numPr>
          <w:ilvl w:val="0"/>
          <w:numId w:val="1001"/>
        </w:numPr>
      </w:pPr>
      <w:r>
        <w:t xml:space="preserve">Sales growth was led by a 17% increase in Commercial aviation original equipment due to shipments recoupling to build schedules, particularly in commercial air transport, and a 7% increase in Commercial aviation aftermarket driven by increasing demand from the installed base.</w:t>
      </w:r>
    </w:p>
    <w:p>
      <w:pPr>
        <w:pStyle w:val="Compact"/>
        <w:numPr>
          <w:ilvl w:val="0"/>
          <w:numId w:val="1001"/>
        </w:numPr>
      </w:pPr>
      <w:r>
        <w:t xml:space="preserve">Defense and space sales were flat as continued strong demand was constrained by output and program timing.</w:t>
      </w:r>
    </w:p>
    <w:p>
      <w:pPr>
        <w:pStyle w:val="Compact"/>
        <w:numPr>
          <w:ilvl w:val="0"/>
          <w:numId w:val="1001"/>
        </w:numPr>
      </w:pPr>
      <w:r>
        <w:t xml:space="preserve">Segment profit grew 2% from the prior year to $1.1 billion, which included approximately $40 million of inventory obsolescence charges related to lower demand for pockets of existing inventory stock driven by emerging repair technologies extending product lives.</w:t>
      </w:r>
    </w:p>
    <w:p>
      <w:pPr>
        <w:pStyle w:val="Compact"/>
        <w:numPr>
          <w:ilvl w:val="0"/>
          <w:numId w:val="1001"/>
        </w:numPr>
      </w:pPr>
      <w:r>
        <w:t xml:space="preserve">Importantly, HON's release flagged an ongoing supply-side headwind: mechanical supply chain showed sequential improvement during the quarter though material supply continued to limit sales growth across end markets. Watch for management commentary on whether this constraint eased further in the carve-out numbers.</w:t>
      </w:r>
    </w:p>
    <w:bookmarkEnd w:id="10"/>
    <w:bookmarkStart w:id="11" w:name="standalone-guidance-framework"/>
    <w:p>
      <w:pPr>
        <w:pStyle w:val="Heading2"/>
      </w:pPr>
      <w:r>
        <w:t xml:space="preserve">Standalone Guidance Framework</w:t>
      </w:r>
    </w:p>
    <w:p>
      <w:pPr>
        <w:pStyle w:val="FirstParagraph"/>
      </w:pPr>
      <w:r>
        <w:t xml:space="preserve">At its inaugural Investor Day (June 3, ahead of the spin), management laid out the financial goalposts investors will measure tomorrow's quarter against:</w:t>
      </w:r>
    </w:p>
    <w:p>
      <w:pPr>
        <w:pStyle w:val="Compact"/>
        <w:numPr>
          <w:ilvl w:val="0"/>
          <w:numId w:val="1002"/>
        </w:numPr>
      </w:pPr>
      <w:r>
        <w:t xml:space="preserve">As a stand-alone company, Honeywell Aerospace expects to generate full-year 2026 adjusted earnings before interest and taxes of $4.65 billion to $4.75 billion with free cash flow in the second half of the year of between $1 billion and $1.5 billion.</w:t>
      </w:r>
    </w:p>
    <w:p>
      <w:pPr>
        <w:pStyle w:val="Compact"/>
        <w:numPr>
          <w:ilvl w:val="0"/>
          <w:numId w:val="1002"/>
        </w:numPr>
      </w:pPr>
      <w:r>
        <w:t xml:space="preserve">Longer-term, the company is targeting organic annual sales growth of 6% to 8% through 2030, with annual earnings growth of 9%, and by 2030 Honeywell is targeting annual earnings of at least $6.5 billion with growing free cash flow.</w:t>
      </w:r>
    </w:p>
    <w:bookmarkEnd w:id="11"/>
    <w:bookmarkStart w:id="12" w:name="street-expectations-for-tomorrow"/>
    <w:p>
      <w:pPr>
        <w:pStyle w:val="Heading2"/>
      </w:pPr>
      <w:r>
        <w:t xml:space="preserve">Street Expectations for Tomorrow</w:t>
      </w:r>
    </w:p>
    <w:p>
      <w:pPr>
        <w:pStyle w:val="Compact"/>
        <w:numPr>
          <w:ilvl w:val="0"/>
          <w:numId w:val="1003"/>
        </w:numPr>
      </w:pPr>
      <w:r>
        <w:t xml:space="preserve">The Zacks Consensus Estimate for earnings is pegged at $2.07 per share. The Zacks Consensus Estimate for revenues is pinned at $4.67 billion.</w:t>
      </w:r>
    </w:p>
    <w:p>
      <w:pPr>
        <w:pStyle w:val="Compact"/>
        <w:numPr>
          <w:ilvl w:val="0"/>
          <w:numId w:val="1003"/>
        </w:numPr>
      </w:pPr>
      <w:r>
        <w:t xml:space="preserve">Sell-side previews frame the setup as constructive: Honeywell Aerospace's quarterly results are expected to benefit from continued strength in commercial aviation. Growth is expected to have been driven by robust demand across both its original equipment and aftermarket businesses, with the company expected to have benefited from sustained demand for maintenance, repair and overhaul (MRO) services as airlines maintained high fleet utilization (drawing from the Zacks preview note).</w:t>
      </w:r>
    </w:p>
    <w:bookmarkEnd w:id="12"/>
    <w:bookmarkStart w:id="13" w:name="key-themes-to-watch-on-the-call"/>
    <w:p>
      <w:pPr>
        <w:pStyle w:val="Heading2"/>
      </w:pPr>
      <w:r>
        <w:t xml:space="preserve">Key Themes to Watch on the Call</w:t>
      </w:r>
    </w:p>
    <w:p>
      <w:pPr>
        <w:pStyle w:val="FirstParagraph"/>
      </w:pPr>
      <w:r>
        <w:rPr>
          <w:b/>
          <w:bCs/>
        </w:rPr>
        <w:t xml:space="preserve">1. Backlog and revenue visibility.</w:t>
      </w:r>
      <w:r>
        <w:t xml:space="preserve"> </w:t>
      </w:r>
      <w:r>
        <w:t xml:space="preserve">Backlog is a central part of the early HONA story. The company entered 2026 with approximately $18.4 billion in backlog, giving investors visibility into future revenues tied to original equipment production, engineering services and aftermarket support. Any backlog build/burn commentary, especially in defense and space, will matter given last quarter's "output and program timing" constraint.</w:t>
      </w:r>
    </w:p>
    <w:p>
      <w:pPr>
        <w:pStyle w:val="BodyText"/>
      </w:pPr>
      <w:r>
        <w:rPr>
          <w:b/>
          <w:bCs/>
        </w:rPr>
        <w:t xml:space="preserve">2. Aftermarket mix as the profit engine.</w:t>
      </w:r>
      <w:r>
        <w:t xml:space="preserve"> </w:t>
      </w:r>
      <w:r>
        <w:t xml:space="preserve">That visibility is reinforced by a large installed base. Aircraft systems generate recurring demand for spare parts, repairs, maintenance, upgrades, software subscriptions and long-term service agreements through an aircraft's operating life. Aftermarket revenues help balance the more cyclical nature of original equipment demand. Commercial aftermarket represented the largest share of HONA's 2025 end-market mix, while defense and space also provided a large revenue base.</w:t>
      </w:r>
    </w:p>
    <w:p>
      <w:pPr>
        <w:pStyle w:val="BodyText"/>
      </w:pPr>
      <w:r>
        <w:rPr>
          <w:b/>
          <w:bCs/>
        </w:rPr>
        <w:t xml:space="preserve">3. Supply chain and cost pressures.</w:t>
      </w:r>
      <w:r>
        <w:t xml:space="preserve"> </w:t>
      </w:r>
      <w:r>
        <w:t xml:space="preserve">Analysts continue to flag external risk: tariffs, sanctions, export controls and regional conflicts could raise costs or disrupt logistics. These pressures may affect contract execution, supplier performance and margins even when end-market demand remains healthy. The July 23 disclosure of continued "material supply" constraints on OE shipments makes this a live issue, not just a hypothetical risk factor.</w:t>
      </w:r>
    </w:p>
    <w:p>
      <w:pPr>
        <w:pStyle w:val="BodyText"/>
      </w:pPr>
      <w:r>
        <w:rPr>
          <w:b/>
          <w:bCs/>
        </w:rPr>
        <w:t xml:space="preserve">4. Cyclicality of commercial aerospace.</w:t>
      </w:r>
      <w:r>
        <w:t xml:space="preserve"> </w:t>
      </w:r>
      <w:r>
        <w:t xml:space="preserve">Investors still need to treat the debut with discipline. Commercial aerospace demand is cyclical, and HONA remains exposed to aircraft production rates, airline profitability, aircraft utilization and the pace of deliveries. With Boeing and Airbus both ramping narrowbody output, execution on those OEM schedules is a swing factor for HONA's OE line.</w:t>
      </w:r>
    </w:p>
    <w:p>
      <w:pPr>
        <w:pStyle w:val="BodyText"/>
      </w:pPr>
      <w:r>
        <w:rPr>
          <w:b/>
          <w:bCs/>
        </w:rPr>
        <w:t xml:space="preserve">5. Standalone cost structure / carve-out noise.</w:t>
      </w:r>
      <w:r>
        <w:t xml:space="preserve"> </w:t>
      </w:r>
      <w:r>
        <w:t xml:space="preserve">As a brand-new public company, watch for one-time separation costs, stranded-cost commentary, and any restatement of prior-period carve-out figures — items that could make the reported quarter noisier than the underlying trend suggests.</w:t>
      </w:r>
    </w:p>
    <w:p>
      <w:pPr>
        <w:pStyle w:val="BodyText"/>
      </w:pPr>
      <w:r>
        <w:rPr>
          <w:b/>
          <w:bCs/>
        </w:rPr>
        <w:t xml:space="preserve">6. Valuation framing versus peers.</w:t>
      </w:r>
      <w:r>
        <w:t xml:space="preserve"> </w:t>
      </w:r>
      <w:r>
        <w:t xml:space="preserve">Sell-side has been actively debating where HONA should trade relative to GE Aerospace and RTX. One valuation piece noted the stock trades at a multiple below the Zacks sub-industry average of 41.41X and the Zacks aerospace sector average of 34.84X, suggesting the shares do not look expensive versus direct industry benchmarks, while a Morgan Stanley note characterized the stock as "not a discount at $224, but rather a fairly valued supplier," while backed by a strong defense catalyst, with uncertainty remaining over the commercial franchise driving the bulk of its profit — a good gauge of the bull/bear tension heading into the print.</w:t>
      </w:r>
    </w:p>
    <w:bookmarkEnd w:id="13"/>
    <w:bookmarkStart w:id="14" w:name="stock-performance-since-the-spin"/>
    <w:p>
      <w:pPr>
        <w:pStyle w:val="Heading2"/>
      </w:pPr>
      <w:r>
        <w:t xml:space="preserve">Stock Performance Since the Spin</w:t>
      </w:r>
    </w:p>
    <w:p>
      <w:pPr>
        <w:pStyle w:val="FirstParagraph"/>
      </w:pPr>
      <w:r>
        <w:t xml:space="preserve">HONA began trading June 29 near $220 and has been choppy since — spiking above $247 in early July before drifting down into the</w:t>
      </w:r>
      <w:r>
        <w:t xml:space="preserve"> </w:t>
      </w:r>
      <m:oMath>
        <m:r>
          <m:t>200</m:t>
        </m:r>
        <m:r>
          <m:rPr>
            <m:sty m:val="p"/>
          </m:rPr>
          <m:t>–</m:t>
        </m:r>
      </m:oMath>
      <w:r>
        <w:t xml:space="preserve">216 range heading into earnings, closing at $216.52 on August 4, essentially flat to slightly down versus its debut level. That range-bound action suggests the market has been waiting for this first standalone report — with its "real" carve-out cost structure and updated guidance cadence — before re-rating the stock decisively in either direction.</w:t>
      </w:r>
    </w:p>
    <w:bookmarkEnd w:id="14"/>
    <w:bookmarkStart w:id="15" w:name="bottom-line-for-investors"/>
    <w:p>
      <w:pPr>
        <w:pStyle w:val="Heading2"/>
      </w:pPr>
      <w:r>
        <w:t xml:space="preserve">Bottom Line for Investors</w:t>
      </w:r>
    </w:p>
    <w:p>
      <w:pPr>
        <w:pStyle w:val="FirstParagraph"/>
      </w:pPr>
      <w:r>
        <w:t xml:space="preserve">This is a credibility-setting report. The underlying business (as disclosed via the legacy segment on July 23) showed healthy 5% organic growth with OE shipments finally "recoupling" to build schedules and aftermarket demand staying firm, but margins were pressured by an inventory charge and segment profit growth (+2%) lagged sales growth (+5%). The key questions for tomorrow are: (1) does the standalone carve-out confirm or complicate that trend once corporate-cost allocations and separation costs are layered in; (2) does management reaffirm/raise the $4.65–4.75B FY2026 adjusted EBIT and H2 free-cash-flow guidance; and (3) how much color does new CEO Jim Currier's team give on the persistent material-supply constraint and defense program timing, both of which are the main swing factors between the "buy the aftermarket-driven growth story" and "wait for supply chain and cost visibility" camps on the Street.</w:t>
      </w:r>
    </w:p>
    <w:bookmarkEnd w:id="15"/>
    <w:bookmarkEnd w:id="1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2026-08-05T00:44:40Z</dcterms:created>
  <dcterms:modified xsi:type="dcterms:W3CDTF">2026-08-05T00:44:40Z</dcterms:modified>
</cp:coreProperties>
</file>

<file path=docProps/custom.xml><?xml version="1.0" encoding="utf-8"?>
<Properties xmlns="http://schemas.openxmlformats.org/officeDocument/2006/custom-properties" xmlns:vt="http://schemas.openxmlformats.org/officeDocument/2006/docPropsVTypes"/>
</file>