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a-earnings-predictions--2026-08-05"/>
    <w:p>
      <w:pPr>
        <w:pStyle w:val="Heading1"/>
      </w:pPr>
      <w:r>
        <w:t xml:space="preserve">HONA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~$4.55B vs. cons $4.61B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~$1.13B vs. cons $1.15B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~$1.98 vs. cons $2.01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midpoint vs. cons 8.0%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~$4.70B midpoint vs. cons $4.66B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~$1.25B midpoint vs. cons $1.30B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-4.2% (FOLLOW-THROUGH)</w:t>
            </w:r>
          </w:p>
        </w:tc>
        <w:tc>
          <w:tcPr/>
          <w:p>
            <w:pPr>
              <w:pStyle w:val="Compact"/>
            </w:pPr>
            <w:r>
              <w:t xml:space="preserve">Q2 revenue and adjusted EBIT misses of roughly 1.3%-1.7%, combined with unchanged ~8.0% FY2026 organic-growth guidance, leave a low-double-digit 2H growth requirement; the ~</w:t>
            </w:r>
            <m:oMath>
              <m:r>
                <m:t>1.25</m:t>
              </m:r>
              <m:r>
                <m:t>B</m:t>
              </m:r>
              <m:r>
                <m:t>2</m:t>
              </m:r>
              <m:r>
                <m:t>H</m:t>
              </m:r>
              <m:r>
                <m:t>2026</m:t>
              </m:r>
              <m:r>
                <m:t>F</m:t>
              </m:r>
              <m:r>
                <m:t>C</m:t>
              </m:r>
              <m:r>
                <m:t>F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1.30B consensus should drive modest estimate cuts after an initial -2.8% residual move, extending the five-day residual to -4.2%.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2026-08-05T00:42:47Z</dcterms:created>
  <dcterms:modified xsi:type="dcterms:W3CDTF">2026-08-05T00:42:47Z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