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hona-q2-2026-earnings-preview"/>
    <w:p>
      <w:pPr>
        <w:pStyle w:val="Heading1"/>
      </w:pPr>
      <w:r>
        <w:t xml:space="preserve">HONA Q2 2026 Earnings Preview</w:t>
      </w:r>
    </w:p>
    <w:p>
      <w:pPr>
        <w:pStyle w:val="BlockText"/>
      </w:pPr>
      <w:r>
        <w:rPr>
          <w:b/>
          <w:bCs/>
        </w:rPr>
        <w:t xml:space="preserve">Timing note:</w:t>
      </w:r>
      <w:r>
        <w:t xml:space="preserve"> </w:t>
      </w:r>
      <w:r>
        <w:t xml:space="preserve">The supplied event date is</w:t>
      </w:r>
      <w:r>
        <w:t xml:space="preserve"> </w:t>
      </w:r>
      <w:r>
        <w:rPr>
          <w:b/>
          <w:bCs/>
        </w:rPr>
        <w:t xml:space="preserve">Wednesday, August 5, 2026</w:t>
      </w:r>
      <w:r>
        <w:t xml:space="preserve">, which is today—not tomorrow. Honeywell Aerospace is scheduled to report after the market closes, with its earnings call at</w:t>
      </w:r>
      <w:r>
        <w:t xml:space="preserve"> </w:t>
      </w:r>
      <w:r>
        <w:rPr>
          <w:b/>
          <w:bCs/>
        </w:rPr>
        <w:t xml:space="preserve">5:00 p.m. EDT</w:t>
      </w:r>
      <w:r>
        <w:t xml:space="preserve">. (</w:t>
      </w:r>
      <w:hyperlink r:id="rId9">
        <w:r>
          <w:rPr>
            <w:rStyle w:val="Hyperlink"/>
          </w:rPr>
          <w:t xml:space="preserve">investor.honeywellaerospace.com</w:t>
        </w:r>
      </w:hyperlink>
      <w:r>
        <w:t xml:space="preserve">)</w:t>
      </w:r>
    </w:p>
    <w:bookmarkStart w:id="10" w:name="investment-setup"/>
    <w:p>
      <w:pPr>
        <w:pStyle w:val="Heading2"/>
      </w:pPr>
      <w:r>
        <w:t xml:space="preserve">Investment setup</w:t>
      </w:r>
    </w:p>
    <w:p>
      <w:pPr>
        <w:pStyle w:val="FirstParagraph"/>
      </w:pPr>
      <w:r>
        <w:t xml:space="preserve">HONA’s first earnings report as an independent company is less about discovering how the aerospace operations performed—the former parent has already disclosed much of that—and more about establishing a credible</w:t>
      </w:r>
      <w:r>
        <w:t xml:space="preserve"> </w:t>
      </w:r>
      <w:r>
        <w:rPr>
          <w:b/>
          <w:bCs/>
        </w:rPr>
        <w:t xml:space="preserve">standalone financial baseline</w:t>
      </w:r>
      <w:r>
        <w:t xml:space="preserve">.</w:t>
      </w:r>
    </w:p>
    <w:p>
      <w:pPr>
        <w:pStyle w:val="BodyText"/>
      </w:pPr>
      <w:r>
        <w:t xml:space="preserve">Investors should focus on three questions:</w:t>
      </w:r>
    </w:p>
    <w:p>
      <w:pPr>
        <w:pStyle w:val="Compact"/>
        <w:numPr>
          <w:ilvl w:val="0"/>
          <w:numId w:val="1001"/>
        </w:numPr>
      </w:pPr>
      <w:r>
        <w:rPr>
          <w:b/>
          <w:bCs/>
        </w:rPr>
        <w:t xml:space="preserve">How do the carve-out results bridge to standalone revenue, adjusted EBIT, EPS and cash flow?</w:t>
      </w:r>
    </w:p>
    <w:p>
      <w:pPr>
        <w:pStyle w:val="Compact"/>
        <w:numPr>
          <w:ilvl w:val="0"/>
          <w:numId w:val="1001"/>
        </w:numPr>
      </w:pPr>
      <w:r>
        <w:rPr>
          <w:b/>
          <w:bCs/>
        </w:rPr>
        <w:t xml:space="preserve">Can management reaffirm a 2026 outlook that requires meaningful second-half acceleration?</w:t>
      </w:r>
    </w:p>
    <w:p>
      <w:pPr>
        <w:pStyle w:val="Compact"/>
        <w:numPr>
          <w:ilvl w:val="0"/>
          <w:numId w:val="1001"/>
        </w:numPr>
      </w:pPr>
      <w:r>
        <w:rPr>
          <w:b/>
          <w:bCs/>
        </w:rPr>
        <w:t xml:space="preserve">Is the supply-chain recovery becoming tangible enough to convert HONA’s large backlog into profitable deliveries?</w:t>
      </w:r>
    </w:p>
    <w:p>
      <w:pPr>
        <w:pStyle w:val="FirstParagraph"/>
      </w:pPr>
      <w:r>
        <w:t xml:space="preserve">The underlying franchise is attractive: broad commercial and defense exposure, a large installed base, high-margin aftermarket revenue and long program lives. But at roughly</w:t>
      </w:r>
      <w:r>
        <w:t xml:space="preserve"> </w:t>
      </w:r>
      <w:r>
        <w:rPr>
          <w:b/>
          <w:bCs/>
        </w:rPr>
        <w:t xml:space="preserve">18x the midpoint of 2026 adjusted EBIT on an enterprise-value basis</w:t>
      </w:r>
      <w:r>
        <w:t xml:space="preserve">, the stock already requires management to execute reasonably well against its Investor Day framework.</w:t>
      </w:r>
    </w:p>
    <w:p>
      <w:r>
        <w:pict>
          <v:rect style="width:0;height:1.5pt" o:hralign="center" o:hrstd="t" o:hr="t"/>
        </w:pict>
      </w:r>
    </w:p>
    <w:bookmarkEnd w:id="10"/>
    <w:bookmarkStart w:id="14" w:name="X7848342e33bfbd8ff18ca615289d52ffe089899"/>
    <w:p>
      <w:pPr>
        <w:pStyle w:val="Heading2"/>
      </w:pPr>
      <w:r>
        <w:t xml:space="preserve">Much of the operating quarter is already known</w:t>
      </w:r>
    </w:p>
    <w:p>
      <w:pPr>
        <w:pStyle w:val="FirstParagraph"/>
      </w:pPr>
      <w:r>
        <w:t xml:space="preserve">Honeywell Technologies disclosed the former Aerospace Technologies segment’s Q2 performance on July 23:</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metric, former Aerospace segment</w:t>
            </w:r>
          </w:p>
        </w:tc>
        <w:tc>
          <w:tcPr/>
          <w:p>
            <w:pPr>
              <w:pStyle w:val="Compact"/>
              <w:jc w:val="right"/>
            </w:pPr>
            <w:r>
              <w:t xml:space="preserve">Result</w:t>
            </w:r>
          </w:p>
        </w:tc>
      </w:tr>
      <w:tr>
        <w:tc>
          <w:tcPr/>
          <w:p>
            <w:pPr>
              <w:pStyle w:val="Compact"/>
            </w:pPr>
            <w:r>
              <w:t xml:space="preserve">Sales</w:t>
            </w:r>
          </w:p>
        </w:tc>
        <w:tc>
          <w:tcPr/>
          <w:p>
            <w:pPr>
              <w:pStyle w:val="Compact"/>
              <w:jc w:val="right"/>
            </w:pPr>
            <w:r>
              <w:rPr>
                <w:b/>
                <w:bCs/>
              </w:rPr>
              <w:t xml:space="preserve">$4.532 billion</w:t>
            </w:r>
          </w:p>
        </w:tc>
      </w:tr>
      <w:tr>
        <w:tc>
          <w:tcPr/>
          <w:p>
            <w:pPr>
              <w:pStyle w:val="Compact"/>
            </w:pPr>
            <w:r>
              <w:t xml:space="preserve">Organic sales growth</w:t>
            </w:r>
          </w:p>
        </w:tc>
        <w:tc>
          <w:tcPr/>
          <w:p>
            <w:pPr>
              <w:pStyle w:val="Compact"/>
              <w:jc w:val="right"/>
            </w:pPr>
            <w:r>
              <w:rPr>
                <w:b/>
                <w:bCs/>
              </w:rPr>
              <w:t xml:space="preserve">5%</w:t>
            </w:r>
          </w:p>
        </w:tc>
      </w:tr>
      <w:tr>
        <w:tc>
          <w:tcPr/>
          <w:p>
            <w:pPr>
              <w:pStyle w:val="Compact"/>
            </w:pPr>
            <w:r>
              <w:t xml:space="preserve">Segment profit</w:t>
            </w:r>
          </w:p>
        </w:tc>
        <w:tc>
          <w:tcPr/>
          <w:p>
            <w:pPr>
              <w:pStyle w:val="Compact"/>
              <w:jc w:val="right"/>
            </w:pPr>
            <w:r>
              <w:rPr>
                <w:b/>
                <w:bCs/>
              </w:rPr>
              <w:t xml:space="preserve">$1.126 billion</w:t>
            </w:r>
          </w:p>
        </w:tc>
      </w:tr>
      <w:tr>
        <w:tc>
          <w:tcPr/>
          <w:p>
            <w:pPr>
              <w:pStyle w:val="Compact"/>
            </w:pPr>
            <w:r>
              <w:t xml:space="preserve">Segment profit growth</w:t>
            </w:r>
          </w:p>
        </w:tc>
        <w:tc>
          <w:tcPr/>
          <w:p>
            <w:pPr>
              <w:pStyle w:val="Compact"/>
              <w:jc w:val="right"/>
            </w:pPr>
            <w:r>
              <w:rPr>
                <w:b/>
                <w:bCs/>
              </w:rPr>
              <w:t xml:space="preserve">2%</w:t>
            </w:r>
          </w:p>
        </w:tc>
      </w:tr>
      <w:tr>
        <w:tc>
          <w:tcPr/>
          <w:p>
            <w:pPr>
              <w:pStyle w:val="Compact"/>
            </w:pPr>
            <w:r>
              <w:t xml:space="preserve">Implied segment margin</w:t>
            </w:r>
          </w:p>
        </w:tc>
        <w:tc>
          <w:tcPr/>
          <w:p>
            <w:pPr>
              <w:pStyle w:val="Compact"/>
              <w:jc w:val="right"/>
            </w:pPr>
            <w:r>
              <w:rPr>
                <w:b/>
                <w:bCs/>
              </w:rPr>
              <w:t xml:space="preserve">24.8%</w:t>
            </w:r>
          </w:p>
        </w:tc>
      </w:tr>
      <w:tr>
        <w:tc>
          <w:tcPr/>
          <w:p>
            <w:pPr>
              <w:pStyle w:val="Compact"/>
            </w:pPr>
            <w:r>
              <w:t xml:space="preserve">Commercial aviation OE growth</w:t>
            </w:r>
          </w:p>
        </w:tc>
        <w:tc>
          <w:tcPr/>
          <w:p>
            <w:pPr>
              <w:pStyle w:val="Compact"/>
              <w:jc w:val="right"/>
            </w:pPr>
            <w:r>
              <w:rPr>
                <w:b/>
                <w:bCs/>
              </w:rPr>
              <w:t xml:space="preserve">17%</w:t>
            </w:r>
          </w:p>
        </w:tc>
      </w:tr>
      <w:tr>
        <w:tc>
          <w:tcPr/>
          <w:p>
            <w:pPr>
              <w:pStyle w:val="Compact"/>
            </w:pPr>
            <w:r>
              <w:t xml:space="preserve">Commercial aviation aftermarket growth</w:t>
            </w:r>
          </w:p>
        </w:tc>
        <w:tc>
          <w:tcPr/>
          <w:p>
            <w:pPr>
              <w:pStyle w:val="Compact"/>
              <w:jc w:val="right"/>
            </w:pPr>
            <w:r>
              <w:rPr>
                <w:b/>
                <w:bCs/>
              </w:rPr>
              <w:t xml:space="preserve">7%</w:t>
            </w:r>
          </w:p>
        </w:tc>
      </w:tr>
      <w:tr>
        <w:tc>
          <w:tcPr/>
          <w:p>
            <w:pPr>
              <w:pStyle w:val="Compact"/>
            </w:pPr>
            <w:r>
              <w:t xml:space="preserve">Defense and space growth</w:t>
            </w:r>
          </w:p>
        </w:tc>
        <w:tc>
          <w:tcPr/>
          <w:p>
            <w:pPr>
              <w:pStyle w:val="Compact"/>
              <w:jc w:val="right"/>
            </w:pPr>
            <w:r>
              <w:rPr>
                <w:b/>
                <w:bCs/>
              </w:rPr>
              <w:t xml:space="preserve">Flat</w:t>
            </w:r>
          </w:p>
        </w:tc>
      </w:tr>
    </w:tbl>
    <w:p>
      <w:pPr>
        <w:pStyle w:val="BodyText"/>
      </w:pPr>
      <w:r>
        <w:t xml:space="preserve">The quarter featured strong commercial OE growth as shipments recoupled with customer build schedules and continued aftermarket growth from the installed base. Conversely, defense and space remained flat despite strong demand, reflecting output constraints and program timing. Segment profit also absorbed approximately</w:t>
      </w:r>
      <w:r>
        <w:t xml:space="preserve"> </w:t>
      </w:r>
      <w:r>
        <w:rPr>
          <w:b/>
          <w:bCs/>
        </w:rPr>
        <w:t xml:space="preserve">$40 million of inventory-obsolescence charges</w:t>
      </w:r>
      <w:r>
        <w:t xml:space="preserve"> </w:t>
      </w:r>
      <w:r>
        <w:t xml:space="preserve">related to emerging repair technologies extending product lives. (</w:t>
      </w:r>
      <w:hyperlink r:id="rId11">
        <w:r>
          <w:rPr>
            <w:rStyle w:val="Hyperlink"/>
          </w:rPr>
          <w:t xml:space="preserve">investor.honeywell.com</w:t>
        </w:r>
      </w:hyperlink>
      <w:r>
        <w:t xml:space="preserve">)</w:t>
      </w:r>
    </w:p>
    <w:p>
      <w:pPr>
        <w:pStyle w:val="BodyText"/>
      </w:pPr>
      <w:r>
        <w:t xml:space="preserve">That gives investors a useful operating benchmark, but not necessarily HONA’s reported numbers. The company has warned that standalone results may differ because of transaction perimeter changes, corporate-cost allocations and the treatment of intracompany transactions. (</w:t>
      </w:r>
      <w:hyperlink r:id="rId12">
        <w:r>
          <w:rPr>
            <w:rStyle w:val="Hyperlink"/>
          </w:rPr>
          <w:t xml:space="preserve">honeywell.com</w:t>
        </w:r>
      </w:hyperlink>
      <w:r>
        <w:t xml:space="preserve">)</w:t>
      </w:r>
    </w:p>
    <w:bookmarkStart w:id="13" w:name="what-would-constitute-a-solid-q2-print"/>
    <w:p>
      <w:pPr>
        <w:pStyle w:val="Heading3"/>
      </w:pPr>
      <w:r>
        <w:t xml:space="preserve">What would constitute a solid Q2 print?</w:t>
      </w:r>
    </w:p>
    <w:p>
      <w:pPr>
        <w:pStyle w:val="FirstParagraph"/>
      </w:pPr>
      <w:r>
        <w:t xml:space="preserve">Given the prior disclosure, the headline revenue number should not be particularly surprising. A constructive report would instead show:</w:t>
      </w:r>
    </w:p>
    <w:p>
      <w:pPr>
        <w:pStyle w:val="Compact"/>
        <w:numPr>
          <w:ilvl w:val="0"/>
          <w:numId w:val="1002"/>
        </w:numPr>
      </w:pPr>
      <w:r>
        <w:t xml:space="preserve">Standalone organic growth broadly consistent with the disclosed</w:t>
      </w:r>
      <w:r>
        <w:t xml:space="preserve"> </w:t>
      </w:r>
      <w:r>
        <w:rPr>
          <w:b/>
          <w:bCs/>
        </w:rPr>
        <w:t xml:space="preserve">5%</w:t>
      </w:r>
      <w:r>
        <w:t xml:space="preserve">.</w:t>
      </w:r>
    </w:p>
    <w:p>
      <w:pPr>
        <w:pStyle w:val="Compact"/>
        <w:numPr>
          <w:ilvl w:val="0"/>
          <w:numId w:val="1002"/>
        </w:numPr>
      </w:pPr>
      <w:r>
        <w:t xml:space="preserve">Adjusted EBIT reasonably close to the former segment’s</w:t>
      </w:r>
      <w:r>
        <w:t xml:space="preserve"> </w:t>
      </w:r>
      <w:r>
        <w:rPr>
          <w:b/>
          <w:bCs/>
        </w:rPr>
        <w:t xml:space="preserve">$1.1 billion</w:t>
      </w:r>
      <w:r>
        <w:t xml:space="preserve"> </w:t>
      </w:r>
      <w:r>
        <w:t xml:space="preserve">profit result after understandable standalone adjustments.</w:t>
      </w:r>
    </w:p>
    <w:p>
      <w:pPr>
        <w:pStyle w:val="Compact"/>
        <w:numPr>
          <w:ilvl w:val="0"/>
          <w:numId w:val="1002"/>
        </w:numPr>
      </w:pPr>
      <w:r>
        <w:t xml:space="preserve">No new material inventory or supply-chain charges.</w:t>
      </w:r>
    </w:p>
    <w:p>
      <w:pPr>
        <w:pStyle w:val="Compact"/>
        <w:numPr>
          <w:ilvl w:val="0"/>
          <w:numId w:val="1002"/>
        </w:numPr>
      </w:pPr>
      <w:r>
        <w:t xml:space="preserve">A clear reconciliation from former-parent segment reporting to HONA’s new segment and corporate reporting.</w:t>
      </w:r>
    </w:p>
    <w:p>
      <w:pPr>
        <w:pStyle w:val="Compact"/>
        <w:numPr>
          <w:ilvl w:val="0"/>
          <w:numId w:val="1002"/>
        </w:numPr>
      </w:pPr>
      <w:r>
        <w:t xml:space="preserve">Evidence that the $40 million inventory charge was discrete rather than an early sign of broader aftermarket obsolescence risk.</w:t>
      </w:r>
    </w:p>
    <w:p>
      <w:r>
        <w:pict>
          <v:rect style="width:0;height:1.5pt" o:hralign="center" o:hrstd="t" o:hr="t"/>
        </w:pict>
      </w:r>
    </w:p>
    <w:bookmarkEnd w:id="13"/>
    <w:bookmarkEnd w:id="14"/>
    <w:bookmarkStart w:id="16" w:name="Xad336c088f6fbed2b9782a4954c1f39ae734794"/>
    <w:p>
      <w:pPr>
        <w:pStyle w:val="Heading2"/>
      </w:pPr>
      <w:r>
        <w:t xml:space="preserve">The central issue: reaffirming the 2026 outlook</w:t>
      </w:r>
    </w:p>
    <w:p>
      <w:pPr>
        <w:pStyle w:val="FirstParagraph"/>
      </w:pPr>
      <w:r>
        <w:t xml:space="preserve">At its June Investor Day, management guided to:</w:t>
      </w:r>
    </w:p>
    <w:p>
      <w:pPr>
        <w:pStyle w:val="Compact"/>
        <w:numPr>
          <w:ilvl w:val="0"/>
          <w:numId w:val="1003"/>
        </w:numPr>
      </w:pPr>
      <w:r>
        <w:rPr>
          <w:b/>
          <w:bCs/>
        </w:rPr>
        <w:t xml:space="preserve">7%–9% organic sales growth</w:t>
      </w:r>
    </w:p>
    <w:p>
      <w:pPr>
        <w:pStyle w:val="Compact"/>
        <w:numPr>
          <w:ilvl w:val="0"/>
          <w:numId w:val="1003"/>
        </w:numPr>
      </w:pPr>
      <m:oMath>
        <m:r>
          <m:t>4.65</m:t>
        </m:r>
        <m:r>
          <m:rPr>
            <m:sty m:val="p"/>
          </m:rPr>
          <m:t>–</m:t>
        </m:r>
      </m:oMath>
      <w:r>
        <w:rPr>
          <w:b/>
          <w:bCs/>
        </w:rPr>
        <w:t xml:space="preserve">4.75 billion of adjusted EBIT</w:t>
      </w:r>
    </w:p>
    <w:p>
      <w:pPr>
        <w:pStyle w:val="Compact"/>
        <w:numPr>
          <w:ilvl w:val="0"/>
          <w:numId w:val="1003"/>
        </w:numPr>
      </w:pPr>
      <m:oMath>
        <m:r>
          <m:t>1.0</m:t>
        </m:r>
        <m:r>
          <m:rPr>
            <m:sty m:val="p"/>
          </m:rPr>
          <m:t>–</m:t>
        </m:r>
      </m:oMath>
      <w:r>
        <w:rPr>
          <w:b/>
          <w:bCs/>
        </w:rPr>
        <w:t xml:space="preserve">1.5 billion of free cash flow in the second half of 2026</w:t>
      </w:r>
    </w:p>
    <w:p>
      <w:pPr>
        <w:pStyle w:val="FirstParagraph"/>
      </w:pPr>
      <w:r>
        <w:t xml:space="preserve">End-market assumptions were high-single-digit commercial OE growth, mid- to high-single-digit commercial aftermarket growth and high-single-digit defense and space growth. Management’s longer-term targets call for</w:t>
      </w:r>
      <w:r>
        <w:t xml:space="preserve"> </w:t>
      </w:r>
      <w:r>
        <w:rPr>
          <w:b/>
          <w:bCs/>
        </w:rPr>
        <w:t xml:space="preserve">6%–8% organic sales CAGR through 2030</w:t>
      </w:r>
      <w:r>
        <w:t xml:space="preserve">, adjusted EBIT above</w:t>
      </w:r>
      <w:r>
        <w:t xml:space="preserve"> </w:t>
      </w:r>
      <m:oMath>
        <m:r>
          <m:t>6.5</m:t>
        </m:r>
        <m:r>
          <m:t>b</m:t>
        </m:r>
        <m:r>
          <m:t>i</m:t>
        </m:r>
        <m:r>
          <m:t>l</m:t>
        </m:r>
        <m:r>
          <m:t>l</m:t>
        </m:r>
        <m:r>
          <m:t>i</m:t>
        </m:r>
        <m:r>
          <m:t>o</m:t>
        </m:r>
        <m:r>
          <m:t>n</m:t>
        </m:r>
        <m:r>
          <m:rPr>
            <m:sty m:val="p"/>
          </m:rPr>
          <m:t>*</m:t>
        </m:r>
        <m:r>
          <m:rPr>
            <m:sty m:val="p"/>
          </m:rPr>
          <m:t>*</m:t>
        </m:r>
        <m:r>
          <m:rPr>
            <m:sty m:val="p"/>
          </m:rPr>
          <m:t>,</m:t>
        </m:r>
        <m:r>
          <m:t>a</m:t>
        </m:r>
        <m:r>
          <m:t>n</m:t>
        </m:r>
        <m:r>
          <m:t>d</m:t>
        </m:r>
        <m:r>
          <m:t>f</m:t>
        </m:r>
        <m:r>
          <m:t>r</m:t>
        </m:r>
        <m:r>
          <m:t>e</m:t>
        </m:r>
        <m:r>
          <m:t>e</m:t>
        </m:r>
        <m:r>
          <m:t>c</m:t>
        </m:r>
        <m:r>
          <m:t>a</m:t>
        </m:r>
        <m:r>
          <m:t>s</m:t>
        </m:r>
        <m:r>
          <m:t>h</m:t>
        </m:r>
        <m:r>
          <m:t>f</m:t>
        </m:r>
        <m:r>
          <m:t>l</m:t>
        </m:r>
        <m:r>
          <m:t>o</m:t>
        </m:r>
        <m:r>
          <m:t>w</m:t>
        </m:r>
        <m:r>
          <m:t>a</m:t>
        </m:r>
        <m:r>
          <m:t>b</m:t>
        </m:r>
        <m:r>
          <m:t>o</m:t>
        </m:r>
        <m:r>
          <m:t>v</m:t>
        </m:r>
        <m:r>
          <m:t>e</m:t>
        </m:r>
        <m:r>
          <m:rPr>
            <m:sty m:val="p"/>
          </m:rPr>
          <m:t>*</m:t>
        </m:r>
        <m:r>
          <m:rPr>
            <m:sty m:val="p"/>
          </m:rPr>
          <m:t>*</m:t>
        </m:r>
      </m:oMath>
      <w:r>
        <w:rPr>
          <w:b/>
          <w:bCs/>
        </w:rPr>
        <w:t xml:space="preserve">4 billion</w:t>
      </w:r>
      <w:r>
        <w:t xml:space="preserve">. (</w:t>
      </w:r>
      <w:hyperlink r:id="rId15">
        <w:r>
          <w:rPr>
            <w:rStyle w:val="Hyperlink"/>
          </w:rPr>
          <w:t xml:space="preserve">investor.honeywellaerospace.com</w:t>
        </w:r>
      </w:hyperlink>
      <w:r>
        <w:t xml:space="preserve">)</w:t>
      </w:r>
    </w:p>
    <w:p>
      <w:pPr>
        <w:pStyle w:val="BodyText"/>
      </w:pPr>
      <w:r>
        <w:t xml:space="preserve">The Q2 data create a notable hurdle. First-half sales for the former aerospace segment were approximately</w:t>
      </w:r>
      <w:r>
        <w:t xml:space="preserve"> </w:t>
      </w:r>
      <w:r>
        <w:rPr>
          <w:b/>
          <w:bCs/>
        </w:rPr>
        <w:t xml:space="preserve">$8.85 billion</w:t>
      </w:r>
      <w:r>
        <w:t xml:space="preserve">, up about 4% from the corresponding 2025 period. Using HONA’s 2025 standalone sales base as an approximation, reaching the midpoint of the 7%–9% full-year target appears to require roughly</w:t>
      </w:r>
      <w:r>
        <w:t xml:space="preserve"> </w:t>
      </w:r>
      <w:r>
        <w:rPr>
          <w:b/>
          <w:bCs/>
        </w:rPr>
        <w:t xml:space="preserve">low-double-digit second-half growth</w:t>
      </w:r>
      <w:r>
        <w:t xml:space="preserve">. This is only an estimate because segment and standalone perimeters differ, but it highlights how back-end-loaded the outlook may be. (</w:t>
      </w:r>
      <w:hyperlink r:id="rId11">
        <w:r>
          <w:rPr>
            <w:rStyle w:val="Hyperlink"/>
          </w:rPr>
          <w:t xml:space="preserve">investor.honeywell.com</w:t>
        </w:r>
      </w:hyperlink>
      <w:r>
        <w:t xml:space="preserve">)</w:t>
      </w:r>
    </w:p>
    <w:p>
      <w:pPr>
        <w:pStyle w:val="BodyText"/>
      </w:pPr>
      <w:r>
        <w:t xml:space="preserve">An unchanged outlook would therefore need to be accompanied by convincing support:</w:t>
      </w:r>
    </w:p>
    <w:p>
      <w:pPr>
        <w:pStyle w:val="Compact"/>
        <w:numPr>
          <w:ilvl w:val="0"/>
          <w:numId w:val="1004"/>
        </w:numPr>
      </w:pPr>
      <w:r>
        <w:t xml:space="preserve">Improving mechanical-component availability.</w:t>
      </w:r>
    </w:p>
    <w:p>
      <w:pPr>
        <w:pStyle w:val="Compact"/>
        <w:numPr>
          <w:ilvl w:val="0"/>
          <w:numId w:val="1004"/>
        </w:numPr>
      </w:pPr>
      <w:r>
        <w:t xml:space="preserve">Better supplier commitment and delivery rates.</w:t>
      </w:r>
    </w:p>
    <w:p>
      <w:pPr>
        <w:pStyle w:val="Compact"/>
        <w:numPr>
          <w:ilvl w:val="0"/>
          <w:numId w:val="1004"/>
        </w:numPr>
      </w:pPr>
      <w:r>
        <w:t xml:space="preserve">Stronger defense program shipments.</w:t>
      </w:r>
    </w:p>
    <w:p>
      <w:pPr>
        <w:pStyle w:val="Compact"/>
        <w:numPr>
          <w:ilvl w:val="0"/>
          <w:numId w:val="1004"/>
        </w:numPr>
      </w:pPr>
      <w:r>
        <w:t xml:space="preserve">Continued commercial OE build-rate recovery.</w:t>
      </w:r>
    </w:p>
    <w:p>
      <w:pPr>
        <w:pStyle w:val="Compact"/>
        <w:numPr>
          <w:ilvl w:val="0"/>
          <w:numId w:val="1004"/>
        </w:numPr>
      </w:pPr>
      <w:r>
        <w:t xml:space="preserve">Enough aftermarket capacity to avoid sacrificing high-margin demand while OE output ramps.</w:t>
      </w:r>
    </w:p>
    <w:p>
      <w:pPr>
        <w:pStyle w:val="FirstParagraph"/>
      </w:pPr>
      <w:r>
        <w:t xml:space="preserve">A guidance reaffirmation without quantified evidence of second-half improvement may not be enough.</w:t>
      </w:r>
    </w:p>
    <w:p>
      <w:r>
        <w:pict>
          <v:rect style="width:0;height:1.5pt" o:hralign="center" o:hrstd="t" o:hr="t"/>
        </w:pict>
      </w:r>
    </w:p>
    <w:bookmarkEnd w:id="16"/>
    <w:bookmarkStart w:id="18" w:name="Xe55c090c7bea9a9217cdcf9a8b7cb5b40a79108"/>
    <w:p>
      <w:pPr>
        <w:pStyle w:val="Heading2"/>
      </w:pPr>
      <w:r>
        <w:t xml:space="preserve">Supply chain is the most important operational variable</w:t>
      </w:r>
    </w:p>
    <w:p>
      <w:pPr>
        <w:pStyle w:val="FirstParagraph"/>
      </w:pPr>
      <w:r>
        <w:t xml:space="preserve">Management has explicitly identified supplier and internal constraints as having limited growth and profitability. The most difficult categories include mechanical components, castings, forgings and precision-machined parts. At Investor Day, HONA said delayed output had prevented backlog conversion, reduced throughput and created execution inefficiencies. (</w:t>
      </w:r>
      <w:hyperlink r:id="rId15">
        <w:r>
          <w:rPr>
            <w:rStyle w:val="Hyperlink"/>
          </w:rPr>
          <w:t xml:space="preserve">investor.honeywellaerospace.com</w:t>
        </w:r>
      </w:hyperlink>
      <w:r>
        <w:t xml:space="preserve">)</w:t>
      </w:r>
    </w:p>
    <w:p>
      <w:pPr>
        <w:pStyle w:val="BodyText"/>
      </w:pPr>
      <w:r>
        <w:t xml:space="preserve">The Q2 update was directionally positive: mechanical supply showed sequential improvement. But materials still constrained sales across end markets, particularly defense and space. (</w:t>
      </w:r>
      <w:hyperlink r:id="rId12">
        <w:r>
          <w:rPr>
            <w:rStyle w:val="Hyperlink"/>
          </w:rPr>
          <w:t xml:space="preserve">honeywell.com</w:t>
        </w:r>
      </w:hyperlink>
      <w:r>
        <w:t xml:space="preserve">)</w:t>
      </w:r>
    </w:p>
    <w:bookmarkStart w:id="17" w:name="questions-investors-should-want-answered"/>
    <w:p>
      <w:pPr>
        <w:pStyle w:val="Heading3"/>
      </w:pPr>
      <w:r>
        <w:t xml:space="preserve">Questions investors should want answered</w:t>
      </w:r>
    </w:p>
    <w:p>
      <w:pPr>
        <w:pStyle w:val="Compact"/>
        <w:numPr>
          <w:ilvl w:val="0"/>
          <w:numId w:val="1005"/>
        </w:numPr>
      </w:pPr>
      <w:r>
        <w:rPr>
          <w:b/>
          <w:bCs/>
        </w:rPr>
        <w:t xml:space="preserve">Did mechanical input availability improve again in July?</w:t>
      </w:r>
    </w:p>
    <w:p>
      <w:pPr>
        <w:pStyle w:val="Compact"/>
        <w:numPr>
          <w:ilvl w:val="0"/>
          <w:numId w:val="1005"/>
        </w:numPr>
      </w:pPr>
      <w:r>
        <w:rPr>
          <w:b/>
          <w:bCs/>
        </w:rPr>
        <w:t xml:space="preserve">Are supplier commit rates translating into completed shipments, or merely better schedules?</w:t>
      </w:r>
    </w:p>
    <w:p>
      <w:pPr>
        <w:pStyle w:val="Compact"/>
        <w:numPr>
          <w:ilvl w:val="0"/>
          <w:numId w:val="1005"/>
        </w:numPr>
      </w:pPr>
      <w:r>
        <w:rPr>
          <w:b/>
          <w:bCs/>
        </w:rPr>
        <w:t xml:space="preserve">Which products remain the principal bottlenecks—engines, APUs, repair flows, control systems or defense electronics?</w:t>
      </w:r>
    </w:p>
    <w:p>
      <w:pPr>
        <w:pStyle w:val="Compact"/>
        <w:numPr>
          <w:ilvl w:val="0"/>
          <w:numId w:val="1005"/>
        </w:numPr>
      </w:pPr>
      <w:r>
        <w:rPr>
          <w:b/>
          <w:bCs/>
        </w:rPr>
        <w:t xml:space="preserve">Is commercial OE receiving priority over aftermarket or defense deliveries?</w:t>
      </w:r>
    </w:p>
    <w:p>
      <w:pPr>
        <w:pStyle w:val="Compact"/>
        <w:numPr>
          <w:ilvl w:val="0"/>
          <w:numId w:val="1005"/>
        </w:numPr>
      </w:pPr>
      <w:r>
        <w:rPr>
          <w:b/>
          <w:bCs/>
        </w:rPr>
        <w:t xml:space="preserve">How much revenue was deferred in Q2 because of unavailable components?</w:t>
      </w:r>
    </w:p>
    <w:p>
      <w:pPr>
        <w:pStyle w:val="Compact"/>
        <w:numPr>
          <w:ilvl w:val="0"/>
          <w:numId w:val="1005"/>
        </w:numPr>
      </w:pPr>
      <w:r>
        <w:rPr>
          <w:b/>
          <w:bCs/>
        </w:rPr>
        <w:t xml:space="preserve">When does management expect defense and space growth to recouple with underlying orders?</w:t>
      </w:r>
    </w:p>
    <w:p>
      <w:pPr>
        <w:pStyle w:val="FirstParagraph"/>
      </w:pPr>
      <w:r>
        <w:t xml:space="preserve">The bullish thesis depends on supply-chain improvement producing three benefits simultaneously: faster revenue growth, better fixed-cost absorption and working-capital release.</w:t>
      </w:r>
    </w:p>
    <w:p>
      <w:r>
        <w:pict>
          <v:rect style="width:0;height:1.5pt" o:hralign="center" o:hrstd="t" o:hr="t"/>
        </w:pict>
      </w:r>
    </w:p>
    <w:bookmarkEnd w:id="17"/>
    <w:bookmarkEnd w:id="18"/>
    <w:bookmarkStart w:id="19" w:name="Xa363fdcf0d176f2b26de7226476484ff434f20e"/>
    <w:p>
      <w:pPr>
        <w:pStyle w:val="Heading2"/>
      </w:pPr>
      <w:r>
        <w:t xml:space="preserve">Margin quality matters more than the reported margin</w:t>
      </w:r>
    </w:p>
    <w:p>
      <w:pPr>
        <w:pStyle w:val="FirstParagraph"/>
      </w:pPr>
      <w:r>
        <w:t xml:space="preserve">The former aerospace segment’s implied Q2 margin was approximately</w:t>
      </w:r>
      <w:r>
        <w:t xml:space="preserve"> </w:t>
      </w:r>
      <w:r>
        <w:rPr>
          <w:b/>
          <w:bCs/>
        </w:rPr>
        <w:t xml:space="preserve">24.8%</w:t>
      </w:r>
      <w:r>
        <w:t xml:space="preserve">, down modestly year over year despite 5% sales growth. The $40 million inventory charge explains part of the pressure, but HONA is also contending with inflation, supply-chain inefficiencies and mix shifting toward commercial OE and defense—generally less profitable than mature aftermarket activity. (</w:t>
      </w:r>
      <w:hyperlink r:id="rId11">
        <w:r>
          <w:rPr>
            <w:rStyle w:val="Hyperlink"/>
          </w:rPr>
          <w:t xml:space="preserve">investor.honeywell.com</w:t>
        </w:r>
      </w:hyperlink>
      <w:r>
        <w:t xml:space="preserve">)</w:t>
      </w:r>
    </w:p>
    <w:p>
      <w:pPr>
        <w:pStyle w:val="BodyText"/>
      </w:pPr>
      <w:r>
        <w:t xml:space="preserve">Investor Day guidance also identified several standalone below-the-line costs:</w:t>
      </w:r>
    </w:p>
    <w:p>
      <w:pPr>
        <w:pStyle w:val="Compact"/>
        <w:numPr>
          <w:ilvl w:val="0"/>
          <w:numId w:val="1006"/>
        </w:numPr>
      </w:pPr>
      <w:r>
        <w:t xml:space="preserve">Approximately</w:t>
      </w:r>
      <w:r>
        <w:t xml:space="preserve"> </w:t>
      </w:r>
      <w:r>
        <w:rPr>
          <w:b/>
          <w:bCs/>
        </w:rPr>
        <w:t xml:space="preserve">$800 million of annual interest expense</w:t>
      </w:r>
    </w:p>
    <w:p>
      <w:pPr>
        <w:pStyle w:val="Compact"/>
        <w:numPr>
          <w:ilvl w:val="0"/>
          <w:numId w:val="1006"/>
        </w:numPr>
      </w:pPr>
      <w:r>
        <w:t xml:space="preserve">Approximately</w:t>
      </w:r>
      <w:r>
        <w:t xml:space="preserve"> </w:t>
      </w:r>
      <w:r>
        <w:rPr>
          <w:b/>
          <w:bCs/>
        </w:rPr>
        <w:t xml:space="preserve">$200 million of annual Honeywell trademark-license expense</w:t>
      </w:r>
    </w:p>
    <w:p>
      <w:pPr>
        <w:pStyle w:val="Compact"/>
        <w:numPr>
          <w:ilvl w:val="0"/>
          <w:numId w:val="1006"/>
        </w:numPr>
      </w:pPr>
      <w:r>
        <w:t xml:space="preserve">Approximately</w:t>
      </w:r>
      <w:r>
        <w:t xml:space="preserve"> </w:t>
      </w:r>
      <m:oMath>
        <m:r>
          <m:t>300</m:t>
        </m:r>
        <m:r>
          <m:rPr>
            <m:sty m:val="p"/>
          </m:rPr>
          <m:t>–</m:t>
        </m:r>
      </m:oMath>
      <w:r>
        <w:rPr>
          <w:b/>
          <w:bCs/>
        </w:rPr>
        <w:t xml:space="preserve">400 million of other below-the-line items</w:t>
      </w:r>
      <w:r>
        <w:t xml:space="preserve">, including environmental remediation, stock compensation and other expense</w:t>
      </w:r>
    </w:p>
    <w:p>
      <w:pPr>
        <w:pStyle w:val="Compact"/>
        <w:numPr>
          <w:ilvl w:val="0"/>
          <w:numId w:val="1006"/>
        </w:numPr>
      </w:pPr>
      <w:r>
        <w:t xml:space="preserve">Approximately</w:t>
      </w:r>
      <w:r>
        <w:t xml:space="preserve"> </w:t>
      </w:r>
      <w:r>
        <w:rPr>
          <w:b/>
          <w:bCs/>
        </w:rPr>
        <w:t xml:space="preserve">$650 million of 2026 capital expenditures</w:t>
      </w:r>
      <w:r>
        <w:t xml:space="preserve"> </w:t>
      </w:r>
      <w:r>
        <w:t xml:space="preserve">(</w:t>
      </w:r>
      <w:hyperlink r:id="rId15">
        <w:r>
          <w:rPr>
            <w:rStyle w:val="Hyperlink"/>
          </w:rPr>
          <w:t xml:space="preserve">investor.honeywellaerospace.com</w:t>
        </w:r>
      </w:hyperlink>
      <w:r>
        <w:t xml:space="preserve">)</w:t>
      </w:r>
    </w:p>
    <w:p>
      <w:pPr>
        <w:pStyle w:val="FirstParagraph"/>
      </w:pPr>
      <w:r>
        <w:t xml:space="preserve">This makes the earnings bridge especially important. Investors should distinguish among:</w:t>
      </w:r>
    </w:p>
    <w:p>
      <w:pPr>
        <w:pStyle w:val="Compact"/>
        <w:numPr>
          <w:ilvl w:val="0"/>
          <w:numId w:val="1007"/>
        </w:numPr>
      </w:pPr>
      <w:r>
        <w:t xml:space="preserve">Segment profit.</w:t>
      </w:r>
    </w:p>
    <w:p>
      <w:pPr>
        <w:pStyle w:val="Compact"/>
        <w:numPr>
          <w:ilvl w:val="0"/>
          <w:numId w:val="1007"/>
        </w:numPr>
      </w:pPr>
      <w:r>
        <w:t xml:space="preserve">Adjusted EBIT.</w:t>
      </w:r>
    </w:p>
    <w:p>
      <w:pPr>
        <w:pStyle w:val="Compact"/>
        <w:numPr>
          <w:ilvl w:val="0"/>
          <w:numId w:val="1007"/>
        </w:numPr>
      </w:pPr>
      <w:r>
        <w:t xml:space="preserve">GAAP operating income.</w:t>
      </w:r>
    </w:p>
    <w:p>
      <w:pPr>
        <w:pStyle w:val="Compact"/>
        <w:numPr>
          <w:ilvl w:val="0"/>
          <w:numId w:val="1007"/>
        </w:numPr>
      </w:pPr>
      <w:r>
        <w:t xml:space="preserve">Adjusted net income and EPS.</w:t>
      </w:r>
    </w:p>
    <w:p>
      <w:pPr>
        <w:pStyle w:val="Compact"/>
        <w:numPr>
          <w:ilvl w:val="0"/>
          <w:numId w:val="1007"/>
        </w:numPr>
      </w:pPr>
      <w:r>
        <w:t xml:space="preserve">Free cash flow before and after separation-related payments.</w:t>
      </w:r>
    </w:p>
    <w:p>
      <w:pPr>
        <w:pStyle w:val="FirstParagraph"/>
      </w:pPr>
      <w:r>
        <w:t xml:space="preserve">A strong segment margin paired with unexpectedly high corporate, interest or transition costs would still represent a disappointing standalone earnings profile.</w:t>
      </w:r>
    </w:p>
    <w:p>
      <w:r>
        <w:pict>
          <v:rect style="width:0;height:1.5pt" o:hralign="center" o:hrstd="t" o:hr="t"/>
        </w:pict>
      </w:r>
    </w:p>
    <w:bookmarkEnd w:id="19"/>
    <w:bookmarkStart w:id="20" w:name="Xc90aee9f85c316c8b4f2fab253d9107744f3d09"/>
    <w:p>
      <w:pPr>
        <w:pStyle w:val="Heading2"/>
      </w:pPr>
      <w:r>
        <w:t xml:space="preserve">Cash flow and balance-sheet scrutiny will be high</w:t>
      </w:r>
    </w:p>
    <w:p>
      <w:pPr>
        <w:pStyle w:val="FirstParagraph"/>
      </w:pPr>
      <w:r>
        <w:t xml:space="preserve">HONA began independent life with approximately</w:t>
      </w:r>
      <w:r>
        <w:t xml:space="preserve"> </w:t>
      </w:r>
      <m:oMath>
        <m:r>
          <m:t>16</m:t>
        </m:r>
        <m:r>
          <m:t>b</m:t>
        </m:r>
        <m:r>
          <m:t>i</m:t>
        </m:r>
        <m:r>
          <m:t>l</m:t>
        </m:r>
        <m:r>
          <m:t>l</m:t>
        </m:r>
        <m:r>
          <m:t>i</m:t>
        </m:r>
        <m:r>
          <m:t>o</m:t>
        </m:r>
        <m:r>
          <m:t>n</m:t>
        </m:r>
        <m:r>
          <m:t>o</m:t>
        </m:r>
        <m:r>
          <m:t>f</m:t>
        </m:r>
        <m:r>
          <m:t>d</m:t>
        </m:r>
        <m:r>
          <m:t>e</m:t>
        </m:r>
        <m:r>
          <m:t>b</m:t>
        </m:r>
        <m:r>
          <m:t>t</m:t>
        </m:r>
        <m:r>
          <m:rPr>
            <m:sty m:val="p"/>
          </m:rPr>
          <m:t>*</m:t>
        </m:r>
        <m:r>
          <m:rPr>
            <m:sty m:val="p"/>
          </m:rPr>
          <m:t>*</m:t>
        </m:r>
        <m:r>
          <m:t>a</m:t>
        </m:r>
        <m:r>
          <m:t>n</m:t>
        </m:r>
        <m:r>
          <m:t>d</m:t>
        </m:r>
        <m:r>
          <m:t>a</m:t>
        </m:r>
        <m:r>
          <m:t>r</m:t>
        </m:r>
        <m:r>
          <m:t>o</m:t>
        </m:r>
        <m:r>
          <m:t>u</m:t>
        </m:r>
        <m:r>
          <m:t>n</m:t>
        </m:r>
        <m:r>
          <m:t>d</m:t>
        </m:r>
        <m:r>
          <m:rPr>
            <m:sty m:val="p"/>
          </m:rPr>
          <m:t>*</m:t>
        </m:r>
        <m:r>
          <m:rPr>
            <m:sty m:val="p"/>
          </m:rPr>
          <m:t>*</m:t>
        </m:r>
      </m:oMath>
      <w:r>
        <w:rPr>
          <w:b/>
          <w:bCs/>
        </w:rPr>
        <w:t xml:space="preserve">1 billion of cash</w:t>
      </w:r>
      <w:r>
        <w:t xml:space="preserve">, while targeting medium-term leverage near 2.5x. Management has said it intends to invest organically, pay a competitive dividend, pursue selective bolt-on acquisitions and opportunistically repurchase shares. (</w:t>
      </w:r>
      <w:hyperlink r:id="rId15">
        <w:r>
          <w:rPr>
            <w:rStyle w:val="Hyperlink"/>
          </w:rPr>
          <w:t xml:space="preserve">investor.honeywellaerospace.com</w:t>
        </w:r>
      </w:hyperlink>
      <w:r>
        <w:t xml:space="preserve">)</w:t>
      </w:r>
    </w:p>
    <w:p>
      <w:pPr>
        <w:pStyle w:val="BodyText"/>
      </w:pPr>
      <w:r>
        <w:t xml:space="preserve">The immediate priority should be cash conversion rather than aggressive capital deployment. The company has substantial inventory and work-in-process tied up in a constrained supply chain, creating both risk and opportunity. Better throughput should convert inventory into revenue and cash; continued disruption could require additional working-capital investment.</w:t>
      </w:r>
    </w:p>
    <w:p>
      <w:pPr>
        <w:pStyle w:val="BodyText"/>
      </w:pPr>
      <w:r>
        <w:t xml:space="preserve">Watch for:</w:t>
      </w:r>
    </w:p>
    <w:p>
      <w:pPr>
        <w:pStyle w:val="Compact"/>
        <w:numPr>
          <w:ilvl w:val="0"/>
          <w:numId w:val="1008"/>
        </w:numPr>
      </w:pPr>
      <w:r>
        <w:t xml:space="preserve">A narrower or better-defined</w:t>
      </w:r>
      <w:r>
        <w:t xml:space="preserve"> </w:t>
      </w:r>
      <m:oMath>
        <m:r>
          <m:t>1.0</m:t>
        </m:r>
        <m:r>
          <m:rPr>
            <m:sty m:val="p"/>
          </m:rPr>
          <m:t>–</m:t>
        </m:r>
      </m:oMath>
      <w:r>
        <w:rPr>
          <w:b/>
          <w:bCs/>
        </w:rPr>
        <w:t xml:space="preserve">1.5 billion second-half FCF range</w:t>
      </w:r>
      <w:r>
        <w:t xml:space="preserve">.</w:t>
      </w:r>
    </w:p>
    <w:p>
      <w:pPr>
        <w:pStyle w:val="Compact"/>
        <w:numPr>
          <w:ilvl w:val="0"/>
          <w:numId w:val="1008"/>
        </w:numPr>
      </w:pPr>
      <w:r>
        <w:t xml:space="preserve">Working-capital assumptions underlying that range.</w:t>
      </w:r>
    </w:p>
    <w:p>
      <w:pPr>
        <w:pStyle w:val="Compact"/>
        <w:numPr>
          <w:ilvl w:val="0"/>
          <w:numId w:val="1008"/>
        </w:numPr>
      </w:pPr>
      <w:r>
        <w:t xml:space="preserve">Separation and transition cash costs.</w:t>
      </w:r>
    </w:p>
    <w:p>
      <w:pPr>
        <w:pStyle w:val="Compact"/>
        <w:numPr>
          <w:ilvl w:val="0"/>
          <w:numId w:val="1008"/>
        </w:numPr>
      </w:pPr>
      <w:r>
        <w:t xml:space="preserve">Updated net debt and near-term debt maturities.</w:t>
      </w:r>
    </w:p>
    <w:p>
      <w:pPr>
        <w:pStyle w:val="Compact"/>
        <w:numPr>
          <w:ilvl w:val="0"/>
          <w:numId w:val="1008"/>
        </w:numPr>
      </w:pPr>
      <w:r>
        <w:t xml:space="preserve">Timing and size of the initial dividend.</w:t>
      </w:r>
    </w:p>
    <w:p>
      <w:pPr>
        <w:pStyle w:val="Compact"/>
        <w:numPr>
          <w:ilvl w:val="0"/>
          <w:numId w:val="1008"/>
        </w:numPr>
      </w:pPr>
      <w:r>
        <w:t xml:space="preserve">Whether repurchases are realistically near-term or secondary to deleveraging and internal investment.</w:t>
      </w:r>
    </w:p>
    <w:p>
      <w:r>
        <w:pict>
          <v:rect style="width:0;height:1.5pt" o:hralign="center" o:hrstd="t" o:hr="t"/>
        </w:pict>
      </w:r>
    </w:p>
    <w:bookmarkEnd w:id="20"/>
    <w:bookmarkStart w:id="21" w:name="X4a4be4d48dc4397de8411282563a0cd97b6e8a6"/>
    <w:p>
      <w:pPr>
        <w:pStyle w:val="Heading2"/>
      </w:pPr>
      <w:r>
        <w:t xml:space="preserve">Defense needs to begin matching the narrative</w:t>
      </w:r>
    </w:p>
    <w:p>
      <w:pPr>
        <w:pStyle w:val="FirstParagraph"/>
      </w:pPr>
      <w:r>
        <w:t xml:space="preserve">Defense and space represented approximately</w:t>
      </w:r>
      <w:r>
        <w:t xml:space="preserve"> </w:t>
      </w:r>
      <w:r>
        <w:rPr>
          <w:b/>
          <w:bCs/>
        </w:rPr>
        <w:t xml:space="preserve">41% of HONA’s 2025 revenue</w:t>
      </w:r>
      <w:r>
        <w:t xml:space="preserve">, making flat Q2 growth difficult to dismiss. The explanation—output constraints and program timing—is plausible, but management’s full-year framework assumes high-single-digit defense growth. (</w:t>
      </w:r>
      <w:hyperlink r:id="rId12">
        <w:r>
          <w:rPr>
            <w:rStyle w:val="Hyperlink"/>
          </w:rPr>
          <w:t xml:space="preserve">honeywell.com</w:t>
        </w:r>
      </w:hyperlink>
      <w:r>
        <w:t xml:space="preserve">)</w:t>
      </w:r>
    </w:p>
    <w:p>
      <w:pPr>
        <w:pStyle w:val="BodyText"/>
      </w:pPr>
      <w:r>
        <w:t xml:space="preserve">The call should provide concrete evidence around:</w:t>
      </w:r>
    </w:p>
    <w:p>
      <w:pPr>
        <w:pStyle w:val="Compact"/>
        <w:numPr>
          <w:ilvl w:val="0"/>
          <w:numId w:val="1009"/>
        </w:numPr>
      </w:pPr>
      <w:r>
        <w:t xml:space="preserve">Missile and munitions production ramps.</w:t>
      </w:r>
    </w:p>
    <w:p>
      <w:pPr>
        <w:pStyle w:val="Compact"/>
        <w:numPr>
          <w:ilvl w:val="0"/>
          <w:numId w:val="1009"/>
        </w:numPr>
      </w:pPr>
      <w:r>
        <w:t xml:space="preserve">Navigation, actuation and electronic-warfare shipments.</w:t>
      </w:r>
    </w:p>
    <w:p>
      <w:pPr>
        <w:pStyle w:val="Compact"/>
        <w:numPr>
          <w:ilvl w:val="0"/>
          <w:numId w:val="1009"/>
        </w:numPr>
      </w:pPr>
      <w:r>
        <w:t xml:space="preserve">International defense demand.</w:t>
      </w:r>
    </w:p>
    <w:p>
      <w:pPr>
        <w:pStyle w:val="Compact"/>
        <w:numPr>
          <w:ilvl w:val="0"/>
          <w:numId w:val="1009"/>
        </w:numPr>
      </w:pPr>
      <w:r>
        <w:t xml:space="preserve">Capacity additions tied to multiyear programs.</w:t>
      </w:r>
    </w:p>
    <w:p>
      <w:pPr>
        <w:pStyle w:val="Compact"/>
        <w:numPr>
          <w:ilvl w:val="0"/>
          <w:numId w:val="1009"/>
        </w:numPr>
      </w:pPr>
      <w:r>
        <w:t xml:space="preserve">Whether Q2 program timing reverses in Q3 or Q4.</w:t>
      </w:r>
    </w:p>
    <w:p>
      <w:pPr>
        <w:pStyle w:val="Compact"/>
        <w:numPr>
          <w:ilvl w:val="0"/>
          <w:numId w:val="1009"/>
        </w:numPr>
      </w:pPr>
      <w:r>
        <w:t xml:space="preserve">The pace of revenue recognition on recently awarded contracts.</w:t>
      </w:r>
    </w:p>
    <w:p>
      <w:pPr>
        <w:pStyle w:val="FirstParagraph"/>
      </w:pPr>
      <w:r>
        <w:t xml:space="preserve">Flat defense revenue accompanied by rising inventory or delayed customer acceptances would be a concern. Flat Q2 revenue followed by quantified Q3 shipment recovery would be much easier to absorb.</w:t>
      </w:r>
    </w:p>
    <w:p>
      <w:r>
        <w:pict>
          <v:rect style="width:0;height:1.5pt" o:hralign="center" o:hrstd="t" o:hr="t"/>
        </w:pict>
      </w:r>
    </w:p>
    <w:bookmarkEnd w:id="21"/>
    <w:bookmarkStart w:id="23" w:name="valuation-and-stock-setup"/>
    <w:p>
      <w:pPr>
        <w:pStyle w:val="Heading2"/>
      </w:pPr>
      <w:r>
        <w:t xml:space="preserve">Valuation and stock setup</w:t>
      </w:r>
    </w:p>
    <w:p>
      <w:pPr>
        <w:pStyle w:val="FirstParagraph"/>
      </w:pPr>
      <w:r>
        <w:t xml:space="preserve">HONA recently traded around</w:t>
      </w:r>
      <w:r>
        <w:t xml:space="preserve"> </w:t>
      </w:r>
      <m:oMath>
        <m:r>
          <m:t>216</m:t>
        </m:r>
        <m:r>
          <m:rPr>
            <m:sty m:val="p"/>
          </m:rPr>
          <m:t>*</m:t>
        </m:r>
        <m:r>
          <m:rPr>
            <m:sty m:val="p"/>
          </m:rPr>
          <m:t>*</m:t>
        </m:r>
        <m:r>
          <m:rPr>
            <m:sty m:val="p"/>
          </m:rPr>
          <m:t>,</m:t>
        </m:r>
        <m:r>
          <m:t>i</m:t>
        </m:r>
        <m:r>
          <m:t>m</m:t>
        </m:r>
        <m:r>
          <m:t>p</m:t>
        </m:r>
        <m:r>
          <m:t>l</m:t>
        </m:r>
        <m:r>
          <m:t>y</m:t>
        </m:r>
        <m:r>
          <m:t>i</m:t>
        </m:r>
        <m:r>
          <m:t>n</m:t>
        </m:r>
        <m:r>
          <m:t>g</m:t>
        </m:r>
        <m:r>
          <m:t>a</m:t>
        </m:r>
        <m:r>
          <m:t>m</m:t>
        </m:r>
        <m:r>
          <m:t>a</m:t>
        </m:r>
        <m:r>
          <m:t>r</m:t>
        </m:r>
        <m:r>
          <m:t>k</m:t>
        </m:r>
        <m:r>
          <m:t>e</m:t>
        </m:r>
        <m:r>
          <m:t>t</m:t>
        </m:r>
        <m:r>
          <m:t>c</m:t>
        </m:r>
        <m:r>
          <m:t>a</m:t>
        </m:r>
        <m:r>
          <m:t>p</m:t>
        </m:r>
        <m:r>
          <m:t>i</m:t>
        </m:r>
        <m:r>
          <m:t>t</m:t>
        </m:r>
        <m:r>
          <m:t>a</m:t>
        </m:r>
        <m:r>
          <m:t>l</m:t>
        </m:r>
        <m:r>
          <m:t>i</m:t>
        </m:r>
        <m:r>
          <m:t>z</m:t>
        </m:r>
        <m:r>
          <m:t>a</m:t>
        </m:r>
        <m:r>
          <m:t>t</m:t>
        </m:r>
        <m:r>
          <m:t>i</m:t>
        </m:r>
        <m:r>
          <m:t>o</m:t>
        </m:r>
        <m:r>
          <m:t>n</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68.6 billion</w:t>
      </w:r>
      <w:r>
        <w:t xml:space="preserve"> </w:t>
      </w:r>
      <w:r>
        <w:t xml:space="preserve">using roughly 316.9 million shares outstanding. Including approximately</w:t>
      </w:r>
      <w:r>
        <w:t xml:space="preserve"> </w:t>
      </w:r>
      <m:oMath>
        <m:r>
          <m:t>15</m:t>
        </m:r>
        <m:r>
          <m:t>b</m:t>
        </m:r>
        <m:r>
          <m:t>i</m:t>
        </m:r>
        <m:r>
          <m:t>l</m:t>
        </m:r>
        <m:r>
          <m:t>l</m:t>
        </m:r>
        <m:r>
          <m:t>i</m:t>
        </m:r>
        <m:r>
          <m:t>o</m:t>
        </m:r>
        <m:r>
          <m:t>n</m:t>
        </m:r>
        <m:r>
          <m:t>o</m:t>
        </m:r>
        <m:r>
          <m:t>f</m:t>
        </m:r>
        <m:r>
          <m:t>n</m:t>
        </m:r>
        <m:r>
          <m:t>e</m:t>
        </m:r>
        <m:r>
          <m:t>t</m:t>
        </m:r>
        <m:r>
          <m:t>d</m:t>
        </m:r>
        <m:r>
          <m:t>e</m:t>
        </m:r>
        <m:r>
          <m:t>b</m:t>
        </m:r>
        <m:r>
          <m:t>t</m:t>
        </m:r>
        <m:r>
          <m:t>g</m:t>
        </m:r>
        <m:r>
          <m:t>i</m:t>
        </m:r>
        <m:r>
          <m:t>v</m:t>
        </m:r>
        <m:r>
          <m:t>e</m:t>
        </m:r>
        <m:r>
          <m:t>s</m:t>
        </m:r>
        <m:r>
          <m:t>a</m:t>
        </m:r>
        <m:r>
          <m:t>n</m:t>
        </m:r>
        <m:r>
          <m:t>e</m:t>
        </m:r>
        <m:r>
          <m:t>n</m:t>
        </m:r>
        <m:r>
          <m:t>t</m:t>
        </m:r>
        <m:r>
          <m:t>e</m:t>
        </m:r>
        <m:r>
          <m:t>r</m:t>
        </m:r>
        <m:r>
          <m:t>p</m:t>
        </m:r>
        <m:r>
          <m:t>r</m:t>
        </m:r>
        <m:r>
          <m:t>i</m:t>
        </m:r>
        <m:r>
          <m:t>s</m:t>
        </m:r>
        <m:r>
          <m:t>e</m:t>
        </m:r>
        <m:r>
          <m:t>v</m:t>
        </m:r>
        <m:r>
          <m:t>a</m:t>
        </m:r>
        <m:r>
          <m:t>l</m:t>
        </m:r>
        <m:r>
          <m:t>u</m:t>
        </m:r>
        <m:r>
          <m:t>e</m:t>
        </m:r>
        <m:r>
          <m:t>n</m:t>
        </m:r>
        <m:r>
          <m:t>e</m:t>
        </m:r>
        <m:r>
          <m:t>a</m:t>
        </m:r>
        <m:r>
          <m:t>r</m:t>
        </m:r>
        <m:r>
          <m:rPr>
            <m:sty m:val="p"/>
          </m:rPr>
          <m:t>*</m:t>
        </m:r>
        <m:r>
          <m:rPr>
            <m:sty m:val="p"/>
          </m:rPr>
          <m:t>*</m:t>
        </m:r>
      </m:oMath>
      <w:r>
        <w:t xml:space="preserve">83.6 billion**, or about:</w:t>
      </w:r>
    </w:p>
    <w:p>
      <w:pPr>
        <w:pStyle w:val="Compact"/>
        <w:numPr>
          <w:ilvl w:val="0"/>
          <w:numId w:val="1010"/>
        </w:numPr>
      </w:pPr>
      <w:r>
        <w:rPr>
          <w:b/>
          <w:bCs/>
        </w:rPr>
        <w:t xml:space="preserve">17.8x</w:t>
      </w:r>
      <w:r>
        <w:t xml:space="preserve"> </w:t>
      </w:r>
      <w:r>
        <w:t xml:space="preserve">the midpoint of 2026 adjusted EBIT guidance.</w:t>
      </w:r>
    </w:p>
    <w:p>
      <w:pPr>
        <w:pStyle w:val="Compact"/>
        <w:numPr>
          <w:ilvl w:val="0"/>
          <w:numId w:val="1010"/>
        </w:numPr>
      </w:pPr>
      <w:r>
        <w:rPr>
          <w:b/>
          <w:bCs/>
        </w:rPr>
        <w:t xml:space="preserve">12.9x</w:t>
      </w:r>
      <w:r>
        <w:t xml:space="preserve"> </w:t>
      </w:r>
      <w:r>
        <w:t xml:space="preserve">management’s greater-than-$6.5 billion 2030 adjusted EBIT target.</w:t>
      </w:r>
    </w:p>
    <w:p>
      <w:pPr>
        <w:pStyle w:val="FirstParagraph"/>
      </w:pPr>
      <w:r>
        <w:t xml:space="preserve">The share and capital-structure assumptions come from HONA’s SEC disclosures and Investor Day materials. (</w:t>
      </w:r>
      <w:hyperlink r:id="rId22">
        <w:r>
          <w:rPr>
            <w:rStyle w:val="Hyperlink"/>
          </w:rPr>
          <w:t xml:space="preserve">sec.gov</w:t>
        </w:r>
      </w:hyperlink>
      <w:r>
        <w:t xml:space="preserve">)</w:t>
      </w:r>
    </w:p>
    <w:p>
      <w:pPr>
        <w:pStyle w:val="BodyText"/>
      </w:pPr>
      <w:r>
        <w:t xml:space="preserve">That valuation is not excessively demanding for a high-quality aerospace franchise, but neither is it forgiving. Material upside likely requires confidence that HONA can:</w:t>
      </w:r>
    </w:p>
    <w:p>
      <w:pPr>
        <w:pStyle w:val="Compact"/>
        <w:numPr>
          <w:ilvl w:val="0"/>
          <w:numId w:val="1011"/>
        </w:numPr>
      </w:pPr>
      <w:r>
        <w:t xml:space="preserve">Sustain high-single-digit organic growth.</w:t>
      </w:r>
    </w:p>
    <w:p>
      <w:pPr>
        <w:pStyle w:val="Compact"/>
        <w:numPr>
          <w:ilvl w:val="0"/>
          <w:numId w:val="1011"/>
        </w:numPr>
      </w:pPr>
      <w:r>
        <w:t xml:space="preserve">Grow EBIT faster than sales.</w:t>
      </w:r>
    </w:p>
    <w:p>
      <w:pPr>
        <w:pStyle w:val="Compact"/>
        <w:numPr>
          <w:ilvl w:val="0"/>
          <w:numId w:val="1011"/>
        </w:numPr>
      </w:pPr>
      <w:r>
        <w:t xml:space="preserve">Release working capital as supply improves.</w:t>
      </w:r>
    </w:p>
    <w:p>
      <w:pPr>
        <w:pStyle w:val="Compact"/>
        <w:numPr>
          <w:ilvl w:val="0"/>
          <w:numId w:val="1011"/>
        </w:numPr>
      </w:pPr>
      <w:r>
        <w:t xml:space="preserve">Reach its 2030 targets without excessive incremental capital or acquisitions.</w:t>
      </w:r>
    </w:p>
    <w:p>
      <w:r>
        <w:pict>
          <v:rect style="width:0;height:1.5pt" o:hralign="center" o:hrstd="t" o:hr="t"/>
        </w:pict>
      </w:r>
    </w:p>
    <w:bookmarkEnd w:id="23"/>
    <w:bookmarkStart w:id="27" w:name="potential-reaction-framework"/>
    <w:p>
      <w:pPr>
        <w:pStyle w:val="Heading2"/>
      </w:pPr>
      <w:r>
        <w:t xml:space="preserve">Potential reaction framework</w:t>
      </w:r>
    </w:p>
    <w:bookmarkStart w:id="24" w:name="bullish-outcome"/>
    <w:p>
      <w:pPr>
        <w:pStyle w:val="Heading3"/>
      </w:pPr>
      <w:r>
        <w:t xml:space="preserve">Bullish outcome</w:t>
      </w:r>
    </w:p>
    <w:p>
      <w:pPr>
        <w:pStyle w:val="Compact"/>
        <w:numPr>
          <w:ilvl w:val="0"/>
          <w:numId w:val="1012"/>
        </w:numPr>
      </w:pPr>
      <w:r>
        <w:t xml:space="preserve">Standalone Q2 EBIT and EPS bridge cleanly from the already disclosed segment result.</w:t>
      </w:r>
    </w:p>
    <w:p>
      <w:pPr>
        <w:pStyle w:val="Compact"/>
        <w:numPr>
          <w:ilvl w:val="0"/>
          <w:numId w:val="1012"/>
        </w:numPr>
      </w:pPr>
      <w:r>
        <w:t xml:space="preserve">Full-year organic growth and adjusted EBIT guidance are reaffirmed.</w:t>
      </w:r>
    </w:p>
    <w:p>
      <w:pPr>
        <w:pStyle w:val="Compact"/>
        <w:numPr>
          <w:ilvl w:val="0"/>
          <w:numId w:val="1012"/>
        </w:numPr>
      </w:pPr>
      <w:r>
        <w:t xml:space="preserve">Management quantifies sequential supplier and throughput improvement.</w:t>
      </w:r>
    </w:p>
    <w:p>
      <w:pPr>
        <w:pStyle w:val="Compact"/>
        <w:numPr>
          <w:ilvl w:val="0"/>
          <w:numId w:val="1012"/>
        </w:numPr>
      </w:pPr>
      <w:r>
        <w:t xml:space="preserve">Defense shipments are accelerating in the second half.</w:t>
      </w:r>
    </w:p>
    <w:p>
      <w:pPr>
        <w:pStyle w:val="Compact"/>
        <w:numPr>
          <w:ilvl w:val="0"/>
          <w:numId w:val="1012"/>
        </w:numPr>
      </w:pPr>
      <w:r>
        <w:t xml:space="preserve">The company expresses confidence toward the upper half of the FCF range.</w:t>
      </w:r>
    </w:p>
    <w:p>
      <w:pPr>
        <w:pStyle w:val="Compact"/>
        <w:numPr>
          <w:ilvl w:val="0"/>
          <w:numId w:val="1012"/>
        </w:numPr>
      </w:pPr>
      <w:r>
        <w:t xml:space="preserve">No meaningful new separation, inventory or environmental charges emerge.</w:t>
      </w:r>
    </w:p>
    <w:bookmarkEnd w:id="24"/>
    <w:bookmarkStart w:id="25" w:name="neutral-outcome"/>
    <w:p>
      <w:pPr>
        <w:pStyle w:val="Heading3"/>
      </w:pPr>
      <w:r>
        <w:t xml:space="preserve">Neutral outcome</w:t>
      </w:r>
    </w:p>
    <w:p>
      <w:pPr>
        <w:pStyle w:val="Compact"/>
        <w:numPr>
          <w:ilvl w:val="0"/>
          <w:numId w:val="1013"/>
        </w:numPr>
      </w:pPr>
      <w:r>
        <w:t xml:space="preserve">Results broadly match the former segment disclosure.</w:t>
      </w:r>
    </w:p>
    <w:p>
      <w:pPr>
        <w:pStyle w:val="Compact"/>
        <w:numPr>
          <w:ilvl w:val="0"/>
          <w:numId w:val="1013"/>
        </w:numPr>
      </w:pPr>
      <w:r>
        <w:t xml:space="preserve">Guidance is maintained but remains heavily second-half weighted.</w:t>
      </w:r>
    </w:p>
    <w:p>
      <w:pPr>
        <w:pStyle w:val="Compact"/>
        <w:numPr>
          <w:ilvl w:val="0"/>
          <w:numId w:val="1013"/>
        </w:numPr>
      </w:pPr>
      <w:r>
        <w:t xml:space="preserve">Supply-chain commentary is positive but qualitative.</w:t>
      </w:r>
    </w:p>
    <w:p>
      <w:pPr>
        <w:pStyle w:val="Compact"/>
        <w:numPr>
          <w:ilvl w:val="0"/>
          <w:numId w:val="1013"/>
        </w:numPr>
      </w:pPr>
      <w:r>
        <w:t xml:space="preserve">Cash flow remains dependent on a large fourth-quarter working-capital release.</w:t>
      </w:r>
    </w:p>
    <w:bookmarkEnd w:id="25"/>
    <w:bookmarkStart w:id="26" w:name="bearish-outcome"/>
    <w:p>
      <w:pPr>
        <w:pStyle w:val="Heading3"/>
      </w:pPr>
      <w:r>
        <w:t xml:space="preserve">Bearish outcome</w:t>
      </w:r>
    </w:p>
    <w:p>
      <w:pPr>
        <w:pStyle w:val="Compact"/>
        <w:numPr>
          <w:ilvl w:val="0"/>
          <w:numId w:val="1014"/>
        </w:numPr>
      </w:pPr>
      <w:r>
        <w:t xml:space="preserve">Standalone corporate and transition costs are materially higher than expected.</w:t>
      </w:r>
    </w:p>
    <w:p>
      <w:pPr>
        <w:pStyle w:val="Compact"/>
        <w:numPr>
          <w:ilvl w:val="0"/>
          <w:numId w:val="1014"/>
        </w:numPr>
      </w:pPr>
      <w:r>
        <w:t xml:space="preserve">Organic growth or adjusted EBIT guidance is reduced.</w:t>
      </w:r>
    </w:p>
    <w:p>
      <w:pPr>
        <w:pStyle w:val="Compact"/>
        <w:numPr>
          <w:ilvl w:val="0"/>
          <w:numId w:val="1014"/>
        </w:numPr>
      </w:pPr>
      <w:r>
        <w:t xml:space="preserve">Mechanical supply-chain recovery is pushed into 2027.</w:t>
      </w:r>
    </w:p>
    <w:p>
      <w:pPr>
        <w:pStyle w:val="Compact"/>
        <w:numPr>
          <w:ilvl w:val="0"/>
          <w:numId w:val="1014"/>
        </w:numPr>
      </w:pPr>
      <w:r>
        <w:t xml:space="preserve">Defense remains constrained with limited evidence of near-term catch-up.</w:t>
      </w:r>
    </w:p>
    <w:p>
      <w:pPr>
        <w:pStyle w:val="Compact"/>
        <w:numPr>
          <w:ilvl w:val="0"/>
          <w:numId w:val="1014"/>
        </w:numPr>
      </w:pPr>
      <w:r>
        <w:t xml:space="preserve">Inventory rises while free-cash-flow guidance moves toward or below the bottom of the range.</w:t>
      </w:r>
    </w:p>
    <w:p>
      <w:pPr>
        <w:pStyle w:val="Compact"/>
        <w:numPr>
          <w:ilvl w:val="0"/>
          <w:numId w:val="1014"/>
        </w:numPr>
      </w:pPr>
      <w:r>
        <w:t xml:space="preserve">Management reveals additional recurring costs not captured in the Investor Day framework.</w:t>
      </w:r>
    </w:p>
    <w:p>
      <w:r>
        <w:pict>
          <v:rect style="width:0;height:1.5pt" o:hralign="center" o:hrstd="t" o:hr="t"/>
        </w:pict>
      </w:r>
    </w:p>
    <w:bookmarkEnd w:id="26"/>
    <w:bookmarkEnd w:id="27"/>
    <w:bookmarkStart w:id="28" w:name="bottom-line"/>
    <w:p>
      <w:pPr>
        <w:pStyle w:val="Heading2"/>
      </w:pPr>
      <w:r>
        <w:t xml:space="preserve">Bottom line</w:t>
      </w:r>
    </w:p>
    <w:p>
      <w:pPr>
        <w:pStyle w:val="FirstParagraph"/>
      </w:pPr>
      <w:r>
        <w:t xml:space="preserve">HONA enters its first standalone report with a strong franchise but a relatively high burden of proof. The known Q2 operating results—</w:t>
      </w:r>
      <w:r>
        <w:rPr>
          <w:b/>
          <w:bCs/>
        </w:rPr>
        <w:t xml:space="preserve">5% organic growth, strong commercial OE and aftermarket demand, but flat defense and modest profit growth</w:t>
      </w:r>
      <w:r>
        <w:t xml:space="preserve">—are adequate rather than exceptional.</w:t>
      </w:r>
    </w:p>
    <w:p>
      <w:pPr>
        <w:pStyle w:val="BodyText"/>
      </w:pPr>
      <w:r>
        <w:t xml:space="preserve">The stock’s reaction should be driven principally by the</w:t>
      </w:r>
      <w:r>
        <w:t xml:space="preserve"> </w:t>
      </w:r>
      <w:r>
        <w:rPr>
          <w:b/>
          <w:bCs/>
        </w:rPr>
        <w:t xml:space="preserve">standalone earnings bridge, second-half supply-chain visibility and confidence in the 7%–9% full-year organic-growth target</w:t>
      </w:r>
      <w:r>
        <w:t xml:space="preserve">. If management can show that improving component availability is turning backlog into shipments, margin leverage and cash, the long-term investment case remains compelling. If the outlook depends primarily on an unquantified fourth-quarter surge, investors may question whether HONA’s ambitious standalone targets arrived ahead of its operational readiness.</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nvestor.honeywell.com/news-releases/news-release-details/honeywell-technologies-reports-second-quarter-results?utm_source=openai" TargetMode="External" /><Relationship Type="http://schemas.openxmlformats.org/officeDocument/2006/relationships/hyperlink" Id="rId9" Target="https://investor.honeywellaerospace.com/?utm_source=openai" TargetMode="External" /><Relationship Type="http://schemas.openxmlformats.org/officeDocument/2006/relationships/hyperlink" Id="rId15" Target="https://investor.honeywellaerospace.com/static-files/9bf56c71-cf2d-4d07-bbfc-6b8f4176067a" TargetMode="External" /><Relationship Type="http://schemas.openxmlformats.org/officeDocument/2006/relationships/hyperlink" Id="rId12" Target="https://www.honeywell.com/us/en/news/press-releases/2026/07/honeywell-technologies-reports-second-quarter-results?utm_source=openai" TargetMode="External" /><Relationship Type="http://schemas.openxmlformats.org/officeDocument/2006/relationships/hyperlink" Id="rId22" Target="https://www.sec.gov/Archives/edgar/data/2089271/000162828026045348/hona-20260624.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investor.honeywell.com/news-releases/news-release-details/honeywell-technologies-reports-second-quarter-results?utm_source=openai" TargetMode="External" /><Relationship Type="http://schemas.openxmlformats.org/officeDocument/2006/relationships/hyperlink" Id="rId9" Target="https://investor.honeywellaerospace.com/?utm_source=openai" TargetMode="External" /><Relationship Type="http://schemas.openxmlformats.org/officeDocument/2006/relationships/hyperlink" Id="rId15" Target="https://investor.honeywellaerospace.com/static-files/9bf56c71-cf2d-4d07-bbfc-6b8f4176067a" TargetMode="External" /><Relationship Type="http://schemas.openxmlformats.org/officeDocument/2006/relationships/hyperlink" Id="rId12" Target="https://www.honeywell.com/us/en/news/press-releases/2026/07/honeywell-technologies-reports-second-quarter-results?utm_source=openai" TargetMode="External" /><Relationship Type="http://schemas.openxmlformats.org/officeDocument/2006/relationships/hyperlink" Id="rId22" Target="https://www.sec.gov/Archives/edgar/data/2089271/000162828026045348/hona-20260624.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2026-08-05T00:42:47Z</dcterms:created>
  <dcterms:modified xsi:type="dcterms:W3CDTF">2026-08-05T00:42:47Z</dcterms:modified>
</cp:coreProperties>
</file>

<file path=docProps/custom.xml><?xml version="1.0" encoding="utf-8"?>
<Properties xmlns="http://schemas.openxmlformats.org/officeDocument/2006/custom-properties" xmlns:vt="http://schemas.openxmlformats.org/officeDocument/2006/docPropsVTypes"/>
</file>