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ona-earnings-predictions--2026-08-05"/>
    <w:p>
      <w:pPr>
        <w:pStyle w:val="Heading1"/>
      </w:pPr>
      <w:r>
        <w:t xml:space="preserve">HONA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~$4.53B vs. cons $4.50B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EBIT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~$1.07B vs. cons $1.10B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free cash flow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0.15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0.05B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~$4.70B vs. cons $4.70B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free cash flow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~$1.15B vs. cons $1.25B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commercial-aftermarket organic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~6% vs. cons 8% (2H26)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~-</w:t>
            </w:r>
            <m:oMath>
              <m:r>
                <m:t>0.15</m:t>
              </m:r>
              <m:r>
                <m:t>B</m:t>
              </m:r>
              <m:r>
                <m:t>2</m:t>
              </m:r>
              <m:r>
                <m:t>Q</m:t>
              </m:r>
              <m:r>
                <m:t>26</m:t>
              </m:r>
              <m:r>
                <m:t>F</m:t>
              </m:r>
              <m:r>
                <m:t>C</m:t>
              </m:r>
              <m:r>
                <m:t>F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0.05B consensus and ~$1.15B 2H26 FCF versus</w:t>
            </w:r>
            <w:r>
              <w:t xml:space="preserve"> </w:t>
            </w:r>
            <m:oMath>
              <m:r>
                <m:t>1.25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w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m</m:t>
              </m:r>
              <m:r>
                <m:t>a</m:t>
              </m:r>
              <m:r>
                <m:t>k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4.70B FY26 EBIT framework dependent on a more back-end-loaded recovery, pulling out-period cash-conversion and earnings estimates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2026-08-05T00:44:50Z</dcterms:created>
  <dcterms:modified xsi:type="dcterms:W3CDTF">2026-08-05T00:44:50Z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