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hona-2q26-earnings-preview"/>
    <w:p>
      <w:pPr>
        <w:pStyle w:val="Heading1"/>
      </w:pPr>
      <w:r>
        <w:t xml:space="preserve">HONA 2Q26 Earnings Preview</w:t>
      </w:r>
    </w:p>
    <w:p>
      <w:pPr>
        <w:pStyle w:val="FirstParagraph"/>
      </w:pPr>
      <w:r>
        <w:rPr>
          <w:b/>
          <w:bCs/>
        </w:rPr>
        <w:t xml:space="preserve">Honeywell Aerospace (NASDAQ: HONA) — reports today, Wednesday, August 5, 2026, at 5:00 p.m. ET</w:t>
      </w:r>
    </w:p>
    <w:p>
      <w:pPr>
        <w:pStyle w:val="BodyText"/>
      </w:pPr>
      <w:r>
        <w:rPr>
          <w:i/>
          <w:iCs/>
        </w:rPr>
        <w:t xml:space="preserve">Date clarification: August 5, 2026 is today—not tomorrow. This will be HONA’s first earnings report as an independent public company following its June 29 spin-off from Honeywell Technologies.</w:t>
      </w:r>
      <w:r>
        <w:t xml:space="preserve"> </w:t>
      </w:r>
      <w:r>
        <w:t xml:space="preserve">(</w:t>
      </w:r>
      <w:hyperlink r:id="rId9">
        <w:r>
          <w:rPr>
            <w:rStyle w:val="Hyperlink"/>
          </w:rPr>
          <w:t xml:space="preserve">investor.honeywellaerospace.com</w:t>
        </w:r>
      </w:hyperlink>
      <w:r>
        <w:t xml:space="preserve">)</w:t>
      </w:r>
    </w:p>
    <w:bookmarkStart w:id="10" w:name="Xe39b1152cbd4a62914681300403201a7b06ccbe"/>
    <w:p>
      <w:pPr>
        <w:pStyle w:val="Heading2"/>
      </w:pPr>
      <w:r>
        <w:t xml:space="preserve">Investment view: the report is about validating the standalone aerospace thesis</w:t>
      </w:r>
    </w:p>
    <w:p>
      <w:pPr>
        <w:pStyle w:val="FirstParagraph"/>
      </w:pPr>
      <w:r>
        <w:t xml:space="preserve">HONA enters its first standalone print with a strong fundamental setup: a large installed base, substantial aftermarket exposure, defense-and-space exposure, and an investor-day framework calling for meaningful earnings and cash-flow growth through 2030. But the stock now needs evidence that the</w:t>
      </w:r>
      <w:r>
        <w:t xml:space="preserve"> </w:t>
      </w:r>
      <w:r>
        <w:rPr>
          <w:b/>
          <w:bCs/>
        </w:rPr>
        <w:t xml:space="preserve">first-half operating momentum, supply-chain execution, standalone cost structure, and free-cash-flow conversion</w:t>
      </w:r>
      <w:r>
        <w:t xml:space="preserve"> </w:t>
      </w:r>
      <w:r>
        <w:t xml:space="preserve">support that narrative.</w:t>
      </w:r>
    </w:p>
    <w:p>
      <w:pPr>
        <w:pStyle w:val="BodyText"/>
      </w:pPr>
      <w:r>
        <w:t xml:space="preserve">The central question is less likely to be whether HONA can post solid year-over-year growth in 2Q; it is whether management can</w:t>
      </w:r>
      <w:r>
        <w:t xml:space="preserve"> </w:t>
      </w:r>
      <w:r>
        <w:rPr>
          <w:b/>
          <w:bCs/>
        </w:rPr>
        <w:t xml:space="preserve">reaffirm the full-year outlook with enough detail to establish credibility around the post-spin model</w:t>
      </w:r>
      <w:r>
        <w:t xml:space="preserve">.</w:t>
      </w:r>
    </w:p>
    <w:bookmarkEnd w:id="10"/>
    <w:bookmarkStart w:id="18" w:name="what-matters-most"/>
    <w:p>
      <w:pPr>
        <w:pStyle w:val="Heading2"/>
      </w:pPr>
      <w:r>
        <w:t xml:space="preserve">What matters most</w:t>
      </w:r>
    </w:p>
    <w:bookmarkStart w:id="12" w:name="X13214a1de9c4a35c0d7688704c93358ac40940e"/>
    <w:p>
      <w:pPr>
        <w:pStyle w:val="Heading3"/>
      </w:pPr>
      <w:r>
        <w:t xml:space="preserve">1. Full-year 2026 guidance: reaffirmation is the base-case hurdle</w:t>
      </w:r>
    </w:p>
    <w:p>
      <w:pPr>
        <w:pStyle w:val="FirstParagraph"/>
      </w:pPr>
      <w:r>
        <w:t xml:space="preserve">At its June investor day, HONA guided to</w:t>
      </w:r>
      <w:r>
        <w:t xml:space="preserve"> </w:t>
      </w:r>
      <m:oMath>
        <m:r>
          <m:t>4.65</m:t>
        </m:r>
        <m:r>
          <m:rPr>
            <m:sty m:val="p"/>
          </m:rPr>
          <m:t>–</m:t>
        </m:r>
      </m:oMath>
      <w:r>
        <w:rPr>
          <w:b/>
          <w:bCs/>
        </w:rPr>
        <w:t xml:space="preserve">4.75 billion of adjusted EBIT</w:t>
      </w:r>
      <w:r>
        <w:t xml:space="preserve"> </w:t>
      </w:r>
      <w:r>
        <w:t xml:space="preserve">for 2026 and</w:t>
      </w:r>
      <w:r>
        <w:t xml:space="preserve"> </w:t>
      </w:r>
      <m:oMath>
        <m:r>
          <m:t>1.0</m:t>
        </m:r>
        <m:r>
          <m:rPr>
            <m:sty m:val="p"/>
          </m:rPr>
          <m:t>–</m:t>
        </m:r>
      </m:oMath>
      <w:r>
        <w:rPr>
          <w:b/>
          <w:bCs/>
        </w:rPr>
        <w:t xml:space="preserve">1.5 billion of second-half free cash flow</w:t>
      </w:r>
      <w:r>
        <w:t xml:space="preserve">. The midpoint implies roughly a</w:t>
      </w:r>
      <w:r>
        <w:t xml:space="preserve"> </w:t>
      </w:r>
      <w:r>
        <w:rPr>
          <w:b/>
          <w:bCs/>
        </w:rPr>
        <w:t xml:space="preserve">27% adjusted-EBIT margin</w:t>
      </w:r>
      <w:r>
        <w:t xml:space="preserve"> </w:t>
      </w:r>
      <w:r>
        <w:t xml:space="preserve">on 2025 sales, so investors will focus not only on top-line growth but also on mix, conversion, standalone costs, and the pace of margin improvement. (</w:t>
      </w:r>
      <w:hyperlink r:id="rId11">
        <w:r>
          <w:rPr>
            <w:rStyle w:val="Hyperlink"/>
          </w:rPr>
          <w:t xml:space="preserve">whatjobs.com</w:t>
        </w:r>
      </w:hyperlink>
      <w:r>
        <w:t xml:space="preserve">)</w:t>
      </w:r>
    </w:p>
    <w:p>
      <w:pPr>
        <w:pStyle w:val="BodyText"/>
      </w:pPr>
      <w:r>
        <w:rPr>
          <w:b/>
          <w:bCs/>
        </w:rPr>
        <w:t xml:space="preserve">Preview takeaway: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Bullish outcome:</w:t>
      </w:r>
      <w:r>
        <w:t xml:space="preserve"> </w:t>
      </w:r>
      <w:r>
        <w:t xml:space="preserve">guidance is reaffirmed or raised, with confidence in second-half cash conversion and margins.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Neutral outcome:</w:t>
      </w:r>
      <w:r>
        <w:t xml:space="preserve"> </w:t>
      </w:r>
      <w:r>
        <w:t xml:space="preserve">guidance is maintained but management cites isolated timing or supply constraints.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Bearish outcome:</w:t>
      </w:r>
      <w:r>
        <w:t xml:space="preserve"> </w:t>
      </w:r>
      <w:r>
        <w:t xml:space="preserve">weaker cash-flow outlook, a margin reset, or ambiguity around the costs of operating independently.</w:t>
      </w:r>
    </w:p>
    <w:bookmarkEnd w:id="12"/>
    <w:bookmarkStart w:id="15" w:name="X8abcf57d4dd82cc75529c922ff75c157328b094"/>
    <w:p>
      <w:pPr>
        <w:pStyle w:val="Heading3"/>
      </w:pPr>
      <w:r>
        <w:t xml:space="preserve">2. Commercial aftermarket remains the key quality-of-growth indicator</w:t>
      </w:r>
    </w:p>
    <w:p>
      <w:pPr>
        <w:pStyle w:val="FirstParagraph"/>
      </w:pPr>
      <w:r>
        <w:t xml:space="preserve">HONA generated</w:t>
      </w:r>
      <w:r>
        <w:t xml:space="preserve"> </w:t>
      </w:r>
      <w:r>
        <w:rPr>
          <w:b/>
          <w:bCs/>
        </w:rPr>
        <w:t xml:space="preserve">$7.66 billion of 2025 commercial-aftermarket sales</w:t>
      </w:r>
      <w:r>
        <w:t xml:space="preserve">, or about 44% of company revenue. This recurring, installed-base-driven business is central to the premium aerospace investment case. Commercial original equipment was $2.59 billion and defense &amp; space was $7.15 billion in 2025. (</w:t>
      </w:r>
      <w:hyperlink r:id="rId13">
        <w:r>
          <w:rPr>
            <w:rStyle w:val="Hyperlink"/>
          </w:rPr>
          <w:t xml:space="preserve">sec.gov</w:t>
        </w:r>
      </w:hyperlink>
      <w:r>
        <w:t xml:space="preserve">)</w:t>
      </w:r>
    </w:p>
    <w:p>
      <w:pPr>
        <w:pStyle w:val="BodyText"/>
      </w:pPr>
      <w:r>
        <w:t xml:space="preserve">The first quarter set a constructive starting point: HONA’s revenue grew</w:t>
      </w:r>
      <w:r>
        <w:t xml:space="preserve"> </w:t>
      </w:r>
      <w:r>
        <w:rPr>
          <w:b/>
          <w:bCs/>
        </w:rPr>
        <w:t xml:space="preserve">7% year over year</w:t>
      </w:r>
      <w:r>
        <w:t xml:space="preserve"> </w:t>
      </w:r>
      <w:r>
        <w:t xml:space="preserve">(6% organic), with the largest disclosed drivers being demand in Engines &amp; Power Systems commercial aftermarket and Electronic Solutions defense &amp; space. (</w:t>
      </w:r>
      <w:hyperlink r:id="rId14">
        <w:r>
          <w:rPr>
            <w:rStyle w:val="Hyperlink"/>
          </w:rPr>
          <w:t xml:space="preserve">sec.gov</w:t>
        </w:r>
      </w:hyperlink>
      <w:r>
        <w:t xml:space="preserve">)</w:t>
      </w:r>
    </w:p>
    <w:p>
      <w:pPr>
        <w:pStyle w:val="BodyText"/>
      </w:pPr>
      <w:r>
        <w:rPr>
          <w:b/>
          <w:bCs/>
        </w:rPr>
        <w:t xml:space="preserve">On the call, listen for:</w:t>
      </w:r>
    </w:p>
    <w:p>
      <w:pPr>
        <w:pStyle w:val="Compact"/>
        <w:numPr>
          <w:ilvl w:val="0"/>
          <w:numId w:val="1002"/>
        </w:numPr>
      </w:pPr>
      <w:r>
        <w:t xml:space="preserve">Commercial aftermarket organic growth, flight-hour trends, pricing, and spare-parts availability.</w:t>
      </w:r>
    </w:p>
    <w:p>
      <w:pPr>
        <w:pStyle w:val="Compact"/>
        <w:numPr>
          <w:ilvl w:val="0"/>
          <w:numId w:val="1002"/>
        </w:numPr>
      </w:pPr>
      <w:r>
        <w:t xml:space="preserve">Whether aftermarket strength is broad-based or concentrated in a limited set of programs.</w:t>
      </w:r>
    </w:p>
    <w:p>
      <w:pPr>
        <w:pStyle w:val="Compact"/>
        <w:numPr>
          <w:ilvl w:val="0"/>
          <w:numId w:val="1002"/>
        </w:numPr>
      </w:pPr>
      <w:r>
        <w:t xml:space="preserve">Any commentary on repair/overhaul capacity, turnaround times, and supplier bottlenecks.</w:t>
      </w:r>
    </w:p>
    <w:p>
      <w:pPr>
        <w:pStyle w:val="Compact"/>
        <w:numPr>
          <w:ilvl w:val="0"/>
          <w:numId w:val="1002"/>
        </w:numPr>
      </w:pPr>
      <w:r>
        <w:t xml:space="preserve">The cadence of commercial-OE demand and airframer production rates.</w:t>
      </w:r>
    </w:p>
    <w:bookmarkEnd w:id="15"/>
    <w:bookmarkStart w:id="16" w:name="Xa5c9e8edd8669ef6ae62b1b605bedae28b22399"/>
    <w:p>
      <w:pPr>
        <w:pStyle w:val="Heading3"/>
      </w:pPr>
      <w:r>
        <w:t xml:space="preserve">3. Segment divergence needs explaining—not just reporting</w:t>
      </w:r>
    </w:p>
    <w:p>
      <w:pPr>
        <w:pStyle w:val="FirstParagraph"/>
      </w:pPr>
      <w:r>
        <w:t xml:space="preserve">The first-quarter segment picture was notably mixed: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Segment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1Q26 sales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YoY growth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1Q26 adj. EBIT margin</w:t>
            </w:r>
          </w:p>
        </w:tc>
        <w:tc>
          <w:tcPr/>
          <w:p>
            <w:pPr>
              <w:pStyle w:val="Compact"/>
            </w:pPr>
            <w:r>
              <w:t xml:space="preserve">Key disclosed driver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Electronic Solutions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$1.74B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+12%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29%</w:t>
            </w:r>
          </w:p>
        </w:tc>
        <w:tc>
          <w:tcPr/>
          <w:p>
            <w:pPr>
              <w:pStyle w:val="Compact"/>
            </w:pPr>
            <w:r>
              <w:t xml:space="preserve">Defense &amp; space plus commercial OE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Engines &amp; Power Systems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$1.42B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+11%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20%</w:t>
            </w:r>
          </w:p>
        </w:tc>
        <w:tc>
          <w:tcPr/>
          <w:p>
            <w:pPr>
              <w:pStyle w:val="Compact"/>
            </w:pPr>
            <w:r>
              <w:t xml:space="preserve">Commercial aftermarket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Control Systems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$1.19B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-5%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27%</w:t>
            </w:r>
          </w:p>
        </w:tc>
        <w:tc>
          <w:tcPr/>
          <w:p>
            <w:pPr>
              <w:pStyle w:val="Compact"/>
            </w:pPr>
            <w:r>
              <w:t xml:space="preserve">Lower commercial-OE volumes</w:t>
            </w:r>
          </w:p>
        </w:tc>
      </w:tr>
    </w:tbl>
    <w:p>
      <w:pPr>
        <w:pStyle w:val="BodyText"/>
      </w:pPr>
      <w:r>
        <w:t xml:space="preserve">Electronic Solutions and Engines &amp; Power Systems both demonstrated strong growth and margin expansion in 1Q. Conversely, Control Systems revenue declined 5% organically and margin fell to 27% from 36%, attributed to lower commercial-OE volumes. (</w:t>
      </w:r>
      <w:hyperlink r:id="rId14">
        <w:r>
          <w:rPr>
            <w:rStyle w:val="Hyperlink"/>
          </w:rPr>
          <w:t xml:space="preserve">sec.gov</w:t>
        </w:r>
      </w:hyperlink>
      <w:r>
        <w:t xml:space="preserve">)</w:t>
      </w:r>
    </w:p>
    <w:p>
      <w:pPr>
        <w:pStyle w:val="BodyText"/>
      </w:pPr>
      <w:r>
        <w:rPr>
          <w:b/>
          <w:bCs/>
        </w:rPr>
        <w:t xml:space="preserve">The 2Q setup:</w:t>
      </w:r>
      <w:r>
        <w:t xml:space="preserve"> </w:t>
      </w:r>
      <w:r>
        <w:t xml:space="preserve">investors will want to see whether Control Systems was a temporary timing issue or a more durable execution/mix problem. A recovery would broaden the earnings story; another weak quarter would create concern that the market is over-relying on E&amp;PS aftermarket and defense strength.</w:t>
      </w:r>
    </w:p>
    <w:bookmarkEnd w:id="16"/>
    <w:bookmarkStart w:id="17" w:name="X83bd221a344b366bc90ab0a8b679ec8382a7d51"/>
    <w:p>
      <w:pPr>
        <w:pStyle w:val="Heading3"/>
      </w:pPr>
      <w:r>
        <w:t xml:space="preserve">4. Cash flow is the report’s most important “proof point”</w:t>
      </w:r>
    </w:p>
    <w:p>
      <w:pPr>
        <w:pStyle w:val="FirstParagraph"/>
      </w:pPr>
      <w:r>
        <w:t xml:space="preserve">HONA’s first-quarter operating cash flow was</w:t>
      </w:r>
      <w:r>
        <w:t xml:space="preserve"> </w:t>
      </w:r>
      <w:r>
        <w:rPr>
          <w:b/>
          <w:bCs/>
        </w:rPr>
        <w:t xml:space="preserve">negative $225 million</w:t>
      </w:r>
      <w:r>
        <w:t xml:space="preserve">, versus positive</w:t>
      </w:r>
      <w:r>
        <w:t xml:space="preserve"> </w:t>
      </w:r>
      <m:oMath>
        <m:r>
          <m:t>277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a</m:t>
        </m:r>
        <m:r>
          <m:t>y</m:t>
        </m:r>
        <m:r>
          <m:t>e</m:t>
        </m:r>
        <m:r>
          <m:t>a</m:t>
        </m:r>
        <m:r>
          <m:t>r</m:t>
        </m:r>
        <m:r>
          <m:t>e</m:t>
        </m:r>
        <m:r>
          <m:t>a</m:t>
        </m:r>
        <m:r>
          <m:t>r</m:t>
        </m:r>
        <m:r>
          <m:t>l</m:t>
        </m:r>
        <m:r>
          <m:t>i</m:t>
        </m:r>
        <m:r>
          <m:t>e</m:t>
        </m:r>
        <m:r>
          <m:t>r</m:t>
        </m:r>
        <m:r>
          <m:rPr>
            <m:sty m:val="p"/>
          </m:rPr>
          <m:t>.</m:t>
        </m:r>
        <m:r>
          <m:t>M</m:t>
        </m:r>
        <m:r>
          <m:t>a</m:t>
        </m:r>
        <m:r>
          <m:t>n</m:t>
        </m:r>
        <m:r>
          <m:t>a</m:t>
        </m:r>
        <m:r>
          <m:t>g</m:t>
        </m:r>
        <m:r>
          <m:t>e</m:t>
        </m:r>
        <m:r>
          <m:t>m</m:t>
        </m:r>
        <m:r>
          <m:t>e</m:t>
        </m:r>
        <m:r>
          <m:t>n</m:t>
        </m:r>
        <m:r>
          <m:t>t</m:t>
        </m:r>
        <m:r>
          <m:t>a</m:t>
        </m:r>
        <m:r>
          <m:t>t</m:t>
        </m:r>
        <m:r>
          <m:t>t</m:t>
        </m:r>
        <m:r>
          <m:t>r</m:t>
        </m:r>
        <m:r>
          <m:t>i</m:t>
        </m:r>
        <m:r>
          <m:t>b</m:t>
        </m:r>
        <m:r>
          <m:t>u</m:t>
        </m:r>
        <m:r>
          <m:t>t</m:t>
        </m:r>
        <m:r>
          <m:t>e</m:t>
        </m:r>
        <m:r>
          <m:t>d</m:t>
        </m:r>
        <m:r>
          <m:t>t</m:t>
        </m:r>
        <m:r>
          <m:t>h</m:t>
        </m:r>
        <m:r>
          <m:t>e</m:t>
        </m:r>
        <m:r>
          <m:t>s</m:t>
        </m:r>
        <m:r>
          <m:t>w</m:t>
        </m:r>
        <m:r>
          <m:t>i</m:t>
        </m:r>
        <m:r>
          <m:t>n</m:t>
        </m:r>
        <m:r>
          <m:t>g</m:t>
        </m:r>
        <m:r>
          <m:t>m</m:t>
        </m:r>
        <m:r>
          <m:t>a</m:t>
        </m:r>
        <m:r>
          <m:t>i</m:t>
        </m:r>
        <m:r>
          <m:t>n</m:t>
        </m:r>
        <m:r>
          <m:t>l</m:t>
        </m:r>
        <m:r>
          <m:t>y</m:t>
        </m:r>
        <m:r>
          <m:t>t</m:t>
        </m:r>
        <m:r>
          <m:t>o</m:t>
        </m:r>
        <m:r>
          <m:t>w</m:t>
        </m:r>
        <m:r>
          <m:t>o</m:t>
        </m:r>
        <m:r>
          <m:t>r</m:t>
        </m:r>
        <m:r>
          <m:t>k</m:t>
        </m:r>
        <m:r>
          <m:t>i</m:t>
        </m:r>
        <m:r>
          <m:t>n</m:t>
        </m:r>
        <m:r>
          <m:t>g</m:t>
        </m:r>
        <m:r>
          <m:rPr>
            <m:sty m:val="p"/>
          </m:rPr>
          <m:t>−</m:t>
        </m:r>
        <m:r>
          <m:t>c</m:t>
        </m:r>
        <m:r>
          <m:t>a</m:t>
        </m:r>
        <m:r>
          <m:t>p</m:t>
        </m:r>
        <m:r>
          <m:t>i</m:t>
        </m:r>
        <m:r>
          <m:t>t</m:t>
        </m:r>
        <m:r>
          <m:t>a</m:t>
        </m:r>
        <m:r>
          <m:t>l</m:t>
        </m:r>
        <m:r>
          <m:t>o</m:t>
        </m:r>
        <m:r>
          <m:t>u</m:t>
        </m:r>
        <m:r>
          <m:t>t</m:t>
        </m:r>
        <m:r>
          <m:t>f</m:t>
        </m:r>
        <m:r>
          <m:t>l</m:t>
        </m:r>
        <m:r>
          <m:t>o</m:t>
        </m:r>
        <m:r>
          <m:t>w</m:t>
        </m:r>
        <m:r>
          <m:t>s</m:t>
        </m:r>
        <m:r>
          <m:rPr>
            <m:sty m:val="p"/>
          </m:rPr>
          <m:t>,</m:t>
        </m:r>
        <m:r>
          <m:t>i</m:t>
        </m:r>
        <m:r>
          <m:t>n</m:t>
        </m:r>
        <m:r>
          <m:t>c</m:t>
        </m:r>
        <m:r>
          <m:t>l</m:t>
        </m:r>
        <m:r>
          <m:t>u</m:t>
        </m:r>
        <m:r>
          <m:t>d</m:t>
        </m:r>
        <m:r>
          <m:t>i</m:t>
        </m:r>
        <m:r>
          <m:t>n</m:t>
        </m:r>
        <m:r>
          <m:t>g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377 million of Flexjet-related settlement payments**, partially offset by receivables factoring. (</w:t>
      </w:r>
      <w:hyperlink r:id="rId14">
        <w:r>
          <w:rPr>
            <w:rStyle w:val="Hyperlink"/>
          </w:rPr>
          <w:t xml:space="preserve">sec.gov</w:t>
        </w:r>
      </w:hyperlink>
      <w:r>
        <w:t xml:space="preserve">)</w:t>
      </w:r>
    </w:p>
    <w:p>
      <w:pPr>
        <w:pStyle w:val="BodyText"/>
      </w:pPr>
      <w:r>
        <w:t xml:space="preserve">That makes the company’s</w:t>
      </w:r>
      <w:r>
        <w:t xml:space="preserve"> </w:t>
      </w:r>
      <m:oMath>
        <m:r>
          <m:t>1.0</m:t>
        </m:r>
        <m:r>
          <m:rPr>
            <m:sty m:val="p"/>
          </m:rPr>
          <m:t>–</m:t>
        </m:r>
      </m:oMath>
      <w:r>
        <w:t xml:space="preserve">1.5 billion second-half free-cash-flow target particularly consequential. Investors should expect management to explain:</w:t>
      </w:r>
    </w:p>
    <w:p>
      <w:pPr>
        <w:pStyle w:val="Compact"/>
        <w:numPr>
          <w:ilvl w:val="0"/>
          <w:numId w:val="1003"/>
        </w:numPr>
      </w:pPr>
      <w:r>
        <w:t xml:space="preserve">The working-capital unwind expected through year-end.</w:t>
      </w:r>
    </w:p>
    <w:p>
      <w:pPr>
        <w:pStyle w:val="Compact"/>
        <w:numPr>
          <w:ilvl w:val="0"/>
          <w:numId w:val="1003"/>
        </w:numPr>
      </w:pPr>
      <w:r>
        <w:t xml:space="preserve">How much of the 1Q cash outflow was genuinely one-time.</w:t>
      </w:r>
    </w:p>
    <w:p>
      <w:pPr>
        <w:pStyle w:val="Compact"/>
        <w:numPr>
          <w:ilvl w:val="0"/>
          <w:numId w:val="1003"/>
        </w:numPr>
      </w:pPr>
      <w:r>
        <w:t xml:space="preserve">Capital-expenditure needs and their relationship to supply-chain resiliency and capacity expansion.</w:t>
      </w:r>
    </w:p>
    <w:p>
      <w:pPr>
        <w:pStyle w:val="Compact"/>
        <w:numPr>
          <w:ilvl w:val="0"/>
          <w:numId w:val="1003"/>
        </w:numPr>
      </w:pPr>
      <w:r>
        <w:t xml:space="preserve">Whether inventory, receivables, or customer advances create a more favorable second-half cash profile.</w:t>
      </w:r>
    </w:p>
    <w:p>
      <w:pPr>
        <w:pStyle w:val="FirstParagraph"/>
      </w:pPr>
      <w:r>
        <w:t xml:space="preserve">A credible bridge from weak 1Q cash generation to the second-half target would be a material positive.</w:t>
      </w:r>
    </w:p>
    <w:bookmarkEnd w:id="17"/>
    <w:bookmarkEnd w:id="18"/>
    <w:bookmarkStart w:id="19" w:name="baseline-comparison-points"/>
    <w:p>
      <w:pPr>
        <w:pStyle w:val="Heading2"/>
      </w:pPr>
      <w:r>
        <w:t xml:space="preserve">Baseline comparison points</w:t>
      </w:r>
    </w:p>
    <w:p>
      <w:pPr>
        <w:pStyle w:val="FirstParagraph"/>
      </w:pPr>
      <w:r>
        <w:t xml:space="preserve">HONA’s 2Q25 revenue was</w:t>
      </w:r>
      <w:r>
        <w:t xml:space="preserve"> </w:t>
      </w:r>
      <w:r>
        <w:rPr>
          <w:b/>
          <w:bCs/>
        </w:rPr>
        <w:t xml:space="preserve">$4.29 billion</w:t>
      </w:r>
      <w:r>
        <w:t xml:space="preserve">, consisting of $2.43 billion of product sales and $1.86 billion of service sales. Segment sales were $1.65 billion in Electronic Solutions, $1.39 billion in Engines &amp; Power Systems, and $1.25 billion in Control Systems. (</w:t>
      </w:r>
      <w:hyperlink r:id="rId13">
        <w:r>
          <w:rPr>
            <w:rStyle w:val="Hyperlink"/>
          </w:rPr>
          <w:t xml:space="preserve">sec.gov</w:t>
        </w:r>
      </w:hyperlink>
      <w:r>
        <w:t xml:space="preserve">)</w:t>
      </w:r>
    </w:p>
    <w:p>
      <w:pPr>
        <w:pStyle w:val="BodyText"/>
      </w:pPr>
      <w:r>
        <w:t xml:space="preserve">For context, 2025 revenue reached</w:t>
      </w:r>
      <w:r>
        <w:t xml:space="preserve"> </w:t>
      </w:r>
      <m:oMath>
        <m:r>
          <m:t>17.4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u</m:t>
        </m:r>
        <m:r>
          <m:t>p</m:t>
        </m:r>
        <m:r>
          <m:t>a</m:t>
        </m:r>
        <m:r>
          <m:t>b</m:t>
        </m:r>
        <m:r>
          <m:t>o</m:t>
        </m:r>
        <m:r>
          <m:t>u</m:t>
        </m:r>
        <m:r>
          <m:t>t</m:t>
        </m:r>
        <m:r>
          <m:t>13</m:t>
        </m:r>
      </m:oMath>
      <w:r>
        <w:rPr>
          <w:b/>
          <w:bCs/>
        </w:rPr>
        <w:t xml:space="preserve">4.46 billion</w:t>
      </w:r>
      <w:r>
        <w:t xml:space="preserve">. The 2025 result included an unusual fourth-quarter Flexjet litigation settlement that reduced E&amp;PS sales by $312 million and segment profit by $373 million; comparisons and management’s adjusted presentation therefore matter. (</w:t>
      </w:r>
      <w:hyperlink r:id="rId13">
        <w:r>
          <w:rPr>
            <w:rStyle w:val="Hyperlink"/>
          </w:rPr>
          <w:t xml:space="preserve">sec.gov</w:t>
        </w:r>
      </w:hyperlink>
      <w:r>
        <w:t xml:space="preserve">)</w:t>
      </w:r>
    </w:p>
    <w:bookmarkEnd w:id="19"/>
    <w:bookmarkStart w:id="20" w:name="Xee62f9d9f8656cf2d01f874758afbfcb4a7a6e2"/>
    <w:p>
      <w:pPr>
        <w:pStyle w:val="Heading2"/>
      </w:pPr>
      <w:r>
        <w:t xml:space="preserve">Standalone financial structure: a real constraint, but manageable if cash flow delivers</w:t>
      </w:r>
    </w:p>
    <w:p>
      <w:pPr>
        <w:pStyle w:val="FirstParagraph"/>
      </w:pPr>
      <w:r>
        <w:t xml:space="preserve">The spin-off left HONA with</w:t>
      </w:r>
      <w:r>
        <w:t xml:space="preserve"> </w:t>
      </w:r>
      <w:r>
        <w:rPr>
          <w:b/>
          <w:bCs/>
        </w:rPr>
        <w:t xml:space="preserve">$16 billion of senior unsecured notes</w:t>
      </w:r>
      <w:r>
        <w:t xml:space="preserve">. It also has $4 billion of committed credit facilities and established a commercial-paper program of up to $4 billion. Proceeds from the notes partly funded a $9.1 billion cash distribution to Honeywell. (</w:t>
      </w:r>
      <w:hyperlink r:id="rId14">
        <w:r>
          <w:rPr>
            <w:rStyle w:val="Hyperlink"/>
          </w:rPr>
          <w:t xml:space="preserve">sec.gov</w:t>
        </w:r>
      </w:hyperlink>
      <w:r>
        <w:t xml:space="preserve">)</w:t>
      </w:r>
    </w:p>
    <w:p>
      <w:pPr>
        <w:pStyle w:val="BodyText"/>
      </w:pPr>
      <w:r>
        <w:t xml:space="preserve">This makes the cash-flow discussion more important than it would be for a lightly levered aerospace supplier. The report should clarify:</w:t>
      </w:r>
    </w:p>
    <w:p>
      <w:pPr>
        <w:pStyle w:val="Compact"/>
        <w:numPr>
          <w:ilvl w:val="0"/>
          <w:numId w:val="1004"/>
        </w:numPr>
      </w:pPr>
      <w:r>
        <w:t xml:space="preserve">Interest expense run rate and any changes in expected financing costs.</w:t>
      </w:r>
    </w:p>
    <w:p>
      <w:pPr>
        <w:pStyle w:val="Compact"/>
        <w:numPr>
          <w:ilvl w:val="0"/>
          <w:numId w:val="1004"/>
        </w:numPr>
      </w:pPr>
      <w:r>
        <w:t xml:space="preserve">Debt-reduction priorities versus M&amp;A, dividends, and repurchases.</w:t>
      </w:r>
    </w:p>
    <w:p>
      <w:pPr>
        <w:pStyle w:val="Compact"/>
        <w:numPr>
          <w:ilvl w:val="0"/>
          <w:numId w:val="1004"/>
        </w:numPr>
      </w:pPr>
      <w:r>
        <w:t xml:space="preserve">The timing and economics of standalone costs, including the Honeywell trademark license and transition-service arrangements.</w:t>
      </w:r>
    </w:p>
    <w:p>
      <w:pPr>
        <w:pStyle w:val="Compact"/>
        <w:numPr>
          <w:ilvl w:val="0"/>
          <w:numId w:val="1004"/>
        </w:numPr>
      </w:pPr>
      <w:r>
        <w:t xml:space="preserve">Whether management still sees the balance sheet as sufficiently flexible to fund growth investments and bolt-on M&amp;A.</w:t>
      </w:r>
    </w:p>
    <w:bookmarkEnd w:id="20"/>
    <w:bookmarkStart w:id="21" w:name="valuation-and-stock-setup"/>
    <w:p>
      <w:pPr>
        <w:pStyle w:val="Heading2"/>
      </w:pPr>
      <w:r>
        <w:t xml:space="preserve">Valuation and stock setup</w:t>
      </w:r>
    </w:p>
    <w:p>
      <w:pPr>
        <w:pStyle w:val="FirstParagraph"/>
      </w:pPr>
      <w:r>
        <w:t xml:space="preserve">HONA closed at</w:t>
      </w:r>
      <w:r>
        <w:t xml:space="preserve"> </w:t>
      </w:r>
      <w:r>
        <w:rPr>
          <w:b/>
          <w:bCs/>
        </w:rPr>
        <w:t xml:space="preserve">$216.52 on August 4</w:t>
      </w:r>
      <w:r>
        <w:t xml:space="preserve">, down about</w:t>
      </w:r>
      <w:r>
        <w:t xml:space="preserve"> </w:t>
      </w:r>
      <w:r>
        <w:rPr>
          <w:b/>
          <w:bCs/>
        </w:rPr>
        <w:t xml:space="preserve">12% from its July 2 post-spin high of</w:t>
      </w:r>
      <w:r>
        <w:rPr>
          <w:b/>
          <w:bCs/>
        </w:rPr>
        <w:t xml:space="preserve"> </w:t>
      </w:r>
      <m:oMath>
        <m:r>
          <m:t>247.15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b</m:t>
        </m:r>
        <m:r>
          <m:t>u</m:t>
        </m:r>
        <m:r>
          <m:t>t</m:t>
        </m:r>
        <m:r>
          <m:t>o</m:t>
        </m:r>
        <m:r>
          <m:t>n</m:t>
        </m:r>
        <m:r>
          <m:t>l</m:t>
        </m:r>
        <m:r>
          <m:t>y</m:t>
        </m:r>
        <m:r>
          <m:t>a</m:t>
        </m:r>
        <m:r>
          <m:t>b</m:t>
        </m:r>
        <m:r>
          <m:t>o</m:t>
        </m:r>
        <m:r>
          <m:t>u</m:t>
        </m:r>
        <m:r>
          <m:t>t</m:t>
        </m:r>
        <m:r>
          <m:t>1.7</m:t>
        </m:r>
      </m:oMath>
      <w:r>
        <w:rPr>
          <w:b/>
          <w:bCs/>
        </w:rPr>
        <w:t xml:space="preserve">68.6 billion of equity value</w:t>
      </w:r>
      <w:r>
        <w:t xml:space="preserve">; against the midpoint of 2026 adjusted-EBIT guidance, that is about</w:t>
      </w:r>
      <w:r>
        <w:t xml:space="preserve"> </w:t>
      </w:r>
      <w:r>
        <w:rPr>
          <w:b/>
          <w:bCs/>
        </w:rPr>
        <w:t xml:space="preserve">14.6x equity value / adjusted EBIT</w:t>
      </w:r>
      <w:r>
        <w:t xml:space="preserve"> </w:t>
      </w:r>
      <w:r>
        <w:t xml:space="preserve">before incorporating net debt.</w:t>
      </w:r>
    </w:p>
    <w:p>
      <w:pPr>
        <w:pStyle w:val="BodyText"/>
      </w:pPr>
      <w:r>
        <w:t xml:space="preserve">The practical implication is that the market is already assigning HONA a high-quality aerospace profile. A plain revenue beat without confirmation of margins, cash generation, and durable aftermarket/defense momentum may not be enough. Conversely, clear evidence that the company can execute its standalone model could support a re-rating.</w:t>
      </w:r>
    </w:p>
    <w:bookmarkEnd w:id="21"/>
    <w:bookmarkStart w:id="24" w:name="what-would-change-the-debate"/>
    <w:p>
      <w:pPr>
        <w:pStyle w:val="Heading2"/>
      </w:pPr>
      <w:r>
        <w:t xml:space="preserve">What would change the debate?</w:t>
      </w:r>
    </w:p>
    <w:bookmarkStart w:id="22" w:name="potential-upside-catalysts"/>
    <w:p>
      <w:pPr>
        <w:pStyle w:val="Heading3"/>
      </w:pPr>
      <w:r>
        <w:t xml:space="preserve">Potential upside catalysts</w:t>
      </w:r>
    </w:p>
    <w:p>
      <w:pPr>
        <w:pStyle w:val="Compact"/>
        <w:numPr>
          <w:ilvl w:val="0"/>
          <w:numId w:val="1005"/>
        </w:numPr>
      </w:pPr>
      <w:r>
        <w:t xml:space="preserve">Reaffirmed or increased 2026 adjusted-EBIT and second-half FCF outlook.</w:t>
      </w:r>
    </w:p>
    <w:p>
      <w:pPr>
        <w:pStyle w:val="Compact"/>
        <w:numPr>
          <w:ilvl w:val="0"/>
          <w:numId w:val="1005"/>
        </w:numPr>
      </w:pPr>
      <w:r>
        <w:t xml:space="preserve">Broad commercial-aftermarket growth and continued defense-and-space strength.</w:t>
      </w:r>
    </w:p>
    <w:p>
      <w:pPr>
        <w:pStyle w:val="Compact"/>
        <w:numPr>
          <w:ilvl w:val="0"/>
          <w:numId w:val="1005"/>
        </w:numPr>
      </w:pPr>
      <w:r>
        <w:t xml:space="preserve">A material Control Systems recovery.</w:t>
      </w:r>
    </w:p>
    <w:p>
      <w:pPr>
        <w:pStyle w:val="Compact"/>
        <w:numPr>
          <w:ilvl w:val="0"/>
          <w:numId w:val="1005"/>
        </w:numPr>
      </w:pPr>
      <w:r>
        <w:t xml:space="preserve">Better-than-expected margin progression in E&amp;PS, where 1Q margin expanded to 20% from 15%.</w:t>
      </w:r>
    </w:p>
    <w:p>
      <w:pPr>
        <w:pStyle w:val="Compact"/>
        <w:numPr>
          <w:ilvl w:val="0"/>
          <w:numId w:val="1005"/>
        </w:numPr>
      </w:pPr>
      <w:r>
        <w:t xml:space="preserve">A clear working-capital and cash-conversion bridge.</w:t>
      </w:r>
    </w:p>
    <w:p>
      <w:pPr>
        <w:pStyle w:val="Compact"/>
        <w:numPr>
          <w:ilvl w:val="0"/>
          <w:numId w:val="1005"/>
        </w:numPr>
      </w:pPr>
      <w:r>
        <w:t xml:space="preserve">Greater specificity on capital allocation, deleveraging, and shareholder-return policy.</w:t>
      </w:r>
    </w:p>
    <w:bookmarkEnd w:id="22"/>
    <w:bookmarkStart w:id="23" w:name="key-downside-risks"/>
    <w:p>
      <w:pPr>
        <w:pStyle w:val="Heading3"/>
      </w:pPr>
      <w:r>
        <w:t xml:space="preserve">Key downside risks</w:t>
      </w:r>
    </w:p>
    <w:p>
      <w:pPr>
        <w:pStyle w:val="Compact"/>
        <w:numPr>
          <w:ilvl w:val="0"/>
          <w:numId w:val="1006"/>
        </w:numPr>
      </w:pPr>
      <w:r>
        <w:t xml:space="preserve">Control Systems weakness persists, pointing to commercial-OE pressure beyond quarterly timing.</w:t>
      </w:r>
    </w:p>
    <w:p>
      <w:pPr>
        <w:pStyle w:val="Compact"/>
        <w:numPr>
          <w:ilvl w:val="0"/>
          <w:numId w:val="1006"/>
        </w:numPr>
      </w:pPr>
      <w:r>
        <w:t xml:space="preserve">Supplier constraints or labor/material inflation limit conversion of demand into shipments.</w:t>
      </w:r>
    </w:p>
    <w:p>
      <w:pPr>
        <w:pStyle w:val="Compact"/>
        <w:numPr>
          <w:ilvl w:val="0"/>
          <w:numId w:val="1006"/>
        </w:numPr>
      </w:pPr>
      <w:r>
        <w:t xml:space="preserve">Management lowers the second-half free-cash-flow outlook or cannot clearly reconcile it with 1Q cash use.</w:t>
      </w:r>
    </w:p>
    <w:p>
      <w:pPr>
        <w:pStyle w:val="Compact"/>
        <w:numPr>
          <w:ilvl w:val="0"/>
          <w:numId w:val="1006"/>
        </w:numPr>
      </w:pPr>
      <w:r>
        <w:t xml:space="preserve">Standalone corporate, trademark, transition-service, or interest costs prove more burdensome than anticipated.</w:t>
      </w:r>
    </w:p>
    <w:p>
      <w:pPr>
        <w:pStyle w:val="Compact"/>
        <w:numPr>
          <w:ilvl w:val="0"/>
          <w:numId w:val="1006"/>
        </w:numPr>
      </w:pPr>
      <w:r>
        <w:t xml:space="preserve">Defense timing, program execution, or commercial-airframe production changes disrupt the expected growth cadence.</w:t>
      </w:r>
    </w:p>
    <w:bookmarkEnd w:id="23"/>
    <w:bookmarkEnd w:id="24"/>
    <w:bookmarkStart w:id="25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rPr>
          <w:b/>
          <w:bCs/>
        </w:rPr>
        <w:t xml:space="preserve">HONA’s first standalone earnings event should be judged primarily on quality, not merely on the reported quarter.</w:t>
      </w:r>
      <w:r>
        <w:t xml:space="preserve"> </w:t>
      </w:r>
      <w:r>
        <w:t xml:space="preserve">Investors should focus on three items: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2026 adjusted-EBIT and second-half FCF guidance;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the durability and breadth of commercial aftermarket and defense growth;</w:t>
      </w:r>
      <w:r>
        <w:t xml:space="preserve"> </w:t>
      </w:r>
      <w:r>
        <w:t xml:space="preserve">and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whether Control Systems and cash conversion validate management’s path to a higher-quality, standalone earnings model.</w:t>
      </w:r>
    </w:p>
    <w:p>
      <w:pPr>
        <w:pStyle w:val="FirstParagraph"/>
      </w:pPr>
      <w:r>
        <w:t xml:space="preserve">A reaffirmed outlook accompanied by broad segment execution and a credible cash bridge would strengthen the bull case. Anything less—especially a cash-flow reset or persistent Control Systems deterioration—would likely shift attention from HONA’s long-term aerospace opportunity toward the risks embedded in its newly independent capital structure.</w:t>
      </w:r>
    </w:p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https://investor.honeywellaerospace.com/?utm_source=openai" TargetMode="External" /><Relationship Type="http://schemas.openxmlformats.org/officeDocument/2006/relationships/hyperlink" Id="rId14" Target="https://www.sec.gov/Archives/edgar/data/2089271/000162828026043193/exhibit991-informationstat.htm" TargetMode="External" /><Relationship Type="http://schemas.openxmlformats.org/officeDocument/2006/relationships/hyperlink" Id="rId13" Target="https://www.sec.gov/Archives/edgar/data/2089271/000162828026045874/exhibit991-closing8xk.htm" TargetMode="External" /><Relationship Type="http://schemas.openxmlformats.org/officeDocument/2006/relationships/hyperlink" Id="rId11" Target="https://www.whatjobs.com/news/honeywell-aerospace-ceo-forecasts-big-growth-ahead-of-standalone-spinoff/?utm_source=opena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https://investor.honeywellaerospace.com/?utm_source=openai" TargetMode="External" /><Relationship Type="http://schemas.openxmlformats.org/officeDocument/2006/relationships/hyperlink" Id="rId14" Target="https://www.sec.gov/Archives/edgar/data/2089271/000162828026043193/exhibit991-informationstat.htm" TargetMode="External" /><Relationship Type="http://schemas.openxmlformats.org/officeDocument/2006/relationships/hyperlink" Id="rId13" Target="https://www.sec.gov/Archives/edgar/data/2089271/000162828026045874/exhibit991-closing8xk.htm" TargetMode="External" /><Relationship Type="http://schemas.openxmlformats.org/officeDocument/2006/relationships/hyperlink" Id="rId11" Target="https://www.whatjobs.com/news/honeywell-aerospace-ceo-forecasts-big-growth-ahead-of-standalone-spinoff/?utm_source=opena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2026-08-05T00:44:50Z</dcterms:created>
  <dcterms:modified xsi:type="dcterms:W3CDTF">2026-08-05T00:44:50Z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