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Honeywell Aerospace Inc. (HONA)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Honeywell Aerospace Inc.</w:t>
            </w:r>
          </w:p>
        </w:tc>
      </w:tr>
      <w:tr>
        <w:tc>
          <w:tcPr>
            <w:tcW w:type="dxa" w:w="4320"/>
          </w:tcPr>
          <w:p>
            <w:r>
              <w:rPr>
                <w:rFonts w:ascii="Calibri" w:hAnsi="Calibri"/>
                <w:b/>
                <w:sz w:val="22"/>
              </w:rPr>
              <w:t>Ticker</w:t>
            </w:r>
          </w:p>
        </w:tc>
        <w:tc>
          <w:tcPr>
            <w:tcW w:type="dxa" w:w="4320"/>
          </w:tcPr>
          <w:p>
            <w:r>
              <w:rPr>
                <w:rFonts w:ascii="Calibri" w:hAnsi="Calibri"/>
                <w:sz w:val="22"/>
              </w:rPr>
              <w:t>NASDAQ: HONA</w:t>
            </w:r>
          </w:p>
        </w:tc>
      </w:tr>
      <w:tr>
        <w:tc>
          <w:tcPr>
            <w:tcW w:type="dxa" w:w="4320"/>
          </w:tcPr>
          <w:p>
            <w:r>
              <w:rPr>
                <w:rFonts w:ascii="Calibri" w:hAnsi="Calibri"/>
                <w:b/>
                <w:sz w:val="22"/>
              </w:rPr>
              <w:t>Upcoming Earnings Date</w:t>
            </w:r>
          </w:p>
        </w:tc>
        <w:tc>
          <w:tcPr>
            <w:tcW w:type="dxa" w:w="4320"/>
          </w:tcPr>
          <w:p>
            <w:r>
              <w:rPr>
                <w:rFonts w:ascii="Calibri" w:hAnsi="Calibri"/>
                <w:sz w:val="22"/>
              </w:rPr>
              <w:t>August 5, 2026 (After Market Close) — First standalone earnings as an independent company</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Sector / ETF Benchmark</w:t>
            </w:r>
          </w:p>
        </w:tc>
        <w:tc>
          <w:tcPr>
            <w:tcW w:type="dxa" w:w="4320"/>
          </w:tcPr>
          <w:p>
            <w:r>
              <w:rPr>
                <w:rFonts w:ascii="Calibri" w:hAnsi="Calibri"/>
                <w:sz w:val="22"/>
              </w:rPr>
              <w:t>Aerospace &amp; Defense / ITA (iShares U.S. Aerospace &amp; Defense ETF)</w:t>
            </w:r>
          </w:p>
        </w:tc>
      </w:tr>
      <w:tr>
        <w:tc>
          <w:tcPr>
            <w:tcW w:type="dxa" w:w="4320"/>
          </w:tcPr>
          <w:p>
            <w:r>
              <w:rPr>
                <w:rFonts w:ascii="Calibri" w:hAnsi="Calibri"/>
                <w:b/>
                <w:sz w:val="22"/>
              </w:rPr>
              <w:t>Current Price</w:t>
            </w:r>
          </w:p>
        </w:tc>
        <w:tc>
          <w:tcPr>
            <w:tcW w:type="dxa" w:w="4320"/>
          </w:tcPr>
          <w:p>
            <w:r>
              <w:rPr>
                <w:rFonts w:ascii="Calibri" w:hAnsi="Calibri"/>
                <w:sz w:val="22"/>
              </w:rPr>
              <w:t>$216.48 (Aug 4, 2026 close)</w:t>
            </w:r>
          </w:p>
        </w:tc>
      </w:tr>
      <w:tr>
        <w:tc>
          <w:tcPr>
            <w:tcW w:type="dxa" w:w="4320"/>
          </w:tcPr>
          <w:p>
            <w:r>
              <w:rPr>
                <w:rFonts w:ascii="Calibri" w:hAnsi="Calibri"/>
                <w:b/>
                <w:sz w:val="22"/>
              </w:rPr>
              <w:t>Consensus Price Target</w:t>
            </w:r>
          </w:p>
        </w:tc>
        <w:tc>
          <w:tcPr>
            <w:tcW w:type="dxa" w:w="4320"/>
          </w:tcPr>
          <w:p>
            <w:r>
              <w:rPr>
                <w:rFonts w:ascii="Calibri" w:hAnsi="Calibri"/>
                <w:sz w:val="22"/>
              </w:rPr>
              <w:t>$253–$258 avg (12 analysts); range $231–$306; consensus rating: Hold</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b/>
          <w:color w:val="525866"/>
          <w:sz w:val="22"/>
        </w:rPr>
        <w:t xml:space="preserve">The setup into HONA’s inaugural standalone print is </w:t>
      </w:r>
      <w:r>
        <w:rPr>
          <w:rFonts w:ascii="Calibri" w:hAnsi="Calibri"/>
          <w:b/>
          <w:color w:val="525866"/>
          <w:sz w:val="22"/>
        </w:rPr>
        <w:t>modestly constructive but not a high bar</w:t>
      </w:r>
      <w:r>
        <w:rPr>
          <w:rFonts w:ascii="Calibri" w:hAnsi="Calibri"/>
          <w:color w:val="525866"/>
          <w:sz w:val="22"/>
        </w:rPr>
        <w:t xml:space="preserve"> — consensus sits at $4.61B revenue and $2.11 adj. EPS for Q2, essentially in line with the 5% organic growth and ~24.8% EBIT margin HONA delivered as the Aerospace Technologies segment inside HON; the biggest swing factor is whether supply chain constraints on mechanical parts eased enough in June to allow a revenue beat.</w:t>
      </w:r>
    </w:p>
    <w:p>
      <w:r>
        <w:rPr>
          <w:rFonts w:ascii="Calibri" w:hAnsi="Calibri"/>
          <w:color w:val="525866"/>
          <w:sz w:val="22"/>
        </w:rPr>
        <w:t xml:space="preserve">HONA enters its first independent earnings report with a clear fundamental tailwind but a stock that has already given back its post-spinoff pop. </w:t>
      </w:r>
      <w:r>
        <w:rPr>
          <w:rFonts w:ascii="Calibri" w:hAnsi="Calibri"/>
          <w:b/>
          <w:color w:val="525866"/>
          <w:sz w:val="22"/>
        </w:rPr>
        <w:t>The bar is not demanding</w:t>
      </w:r>
      <w:r>
        <w:rPr>
          <w:rFonts w:ascii="Calibri" w:hAnsi="Calibri"/>
          <w:color w:val="525866"/>
          <w:sz w:val="22"/>
        </w:rPr>
        <w:t xml:space="preserve">: consensus expects ~$4.61B in Q2 revenue (roughly +7% organic YoY) and adj. EPS of ~$2.11, both achievable given the strong peer read-throughs from GE Aerospace, RTX/Collins, TransDigm, and Safran, all of which reported robust commercial aftermarket demand and raised full-year guidance. Management’s last public posture (as the Aerospace Technologies segment on HON’s Q1 2026 call, April 23) was cautious — citing mechanical supply chain disruptions and a ~$40M inventory obsolescence charge in Q2 — which means estimates may already embed conservatism. Estimate revisions have been essentially flat since the spinoff, with the as-of July 4 consensus nearly identical to current, suggesting the Street has not yet re-rated the standalone story. The stock has underperformed ITA by ~6.5 points since the June 29 spinoff (HONA √1.7% vs. ITA +4.8%), reflecting spin-related selling pressure and uncertainty around the standalone cost structure rather than fundamental deterioration. The key wildcard is </w:t>
      </w:r>
      <w:r>
        <w:rPr>
          <w:rFonts w:ascii="Calibri" w:hAnsi="Calibri"/>
          <w:b/>
          <w:color w:val="525866"/>
          <w:sz w:val="22"/>
        </w:rPr>
        <w:t>whether HONA provides its own standalone FY2026 guidance for the first time</w:t>
      </w:r>
      <w:r>
        <w:rPr>
          <w:rFonts w:ascii="Calibri" w:hAnsi="Calibri"/>
          <w:color w:val="525866"/>
          <w:sz w:val="22"/>
        </w:rPr>
        <w:t xml:space="preserve"> — any upward revision to the implied ~$19B revenue and ~$8.88 adj. EPS consensus would be a meaningful catalyst for re-rating.</w:t>
      </w:r>
    </w:p>
    <w:p>
      <w:r>
        <w:br w:type="page"/>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b/>
          <w:color w:val="525866"/>
          <w:sz w:val="22"/>
        </w:rPr>
        <w:t xml:space="preserve">Consensus is a </w:t>
      </w:r>
      <w:r>
        <w:rPr>
          <w:rFonts w:ascii="Calibri" w:hAnsi="Calibri"/>
          <w:b/>
          <w:color w:val="525866"/>
          <w:sz w:val="22"/>
        </w:rPr>
        <w:t>low-to-fair bar</w:t>
      </w:r>
      <w:r>
        <w:rPr>
          <w:rFonts w:ascii="Calibri" w:hAnsi="Calibri"/>
          <w:color w:val="525866"/>
          <w:sz w:val="22"/>
        </w:rPr>
        <w:t xml:space="preserve"> heading into the print — the Street expects ~7% organic growth and ~24.8% EBIT margin, both consistent with Q1 actuals and peer read-throughs. </w:t>
      </w:r>
      <w:r>
        <w:rPr>
          <w:rFonts w:ascii="Calibri" w:hAnsi="Calibri"/>
          <w:b/>
          <w:color w:val="525866"/>
          <w:sz w:val="22"/>
        </w:rPr>
        <w:t>Revenue (and specifically commercial aftermarket) is the bigger swing factor</w:t>
      </w:r>
      <w:r>
        <w:rPr>
          <w:rFonts w:ascii="Calibri" w:hAnsi="Calibri"/>
          <w:color w:val="525866"/>
          <w:sz w:val="22"/>
        </w:rPr>
        <w:t>; adj. EPS is more predictable given the stable margin profile.</w:t>
      </w:r>
    </w:p>
    <w:p>
      <w:pPr>
        <w:pStyle w:val="Heading3"/>
      </w:pPr>
      <w:r>
        <w:rPr>
          <w:rFonts w:ascii="Calibri" w:hAnsi="Calibri"/>
          <w:b/>
          <w:color w:val="3B4259"/>
          <w:sz w:val="24"/>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(Q2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$4.352B</w:t>
            </w:r>
          </w:p>
        </w:tc>
        <w:tc>
          <w:tcPr>
            <w:tcW w:type="dxa" w:w="1234"/>
          </w:tcPr>
          <w:p>
            <w:r>
              <w:rPr>
                <w:rFonts w:ascii="Calibri" w:hAnsi="Calibri"/>
                <w:sz w:val="22"/>
              </w:rPr>
              <w:t>$4.289B</w:t>
            </w:r>
          </w:p>
        </w:tc>
        <w:tc>
          <w:tcPr>
            <w:tcW w:type="dxa" w:w="1234"/>
          </w:tcPr>
          <w:p>
            <w:r>
              <w:rPr>
                <w:rFonts w:ascii="Calibri" w:hAnsi="Calibri"/>
                <w:sz w:val="22"/>
              </w:rPr>
              <w:t>$4.609B</w:t>
            </w:r>
          </w:p>
        </w:tc>
        <w:tc>
          <w:tcPr>
            <w:tcW w:type="dxa" w:w="1234"/>
          </w:tcPr>
          <w:p>
            <w:r>
              <w:rPr>
                <w:rFonts w:ascii="Calibri" w:hAnsi="Calibri"/>
                <w:sz w:val="22"/>
              </w:rPr>
              <w:t>+7.5% YoY</w:t>
            </w:r>
          </w:p>
        </w:tc>
        <w:tc>
          <w:tcPr>
            <w:tcW w:type="dxa" w:w="1234"/>
          </w:tcPr>
          <w:p>
            <w:r>
              <w:rPr>
                <w:rFonts w:ascii="Calibri" w:hAnsi="Calibri"/>
                <w:sz w:val="22"/>
              </w:rPr>
              <w:t>$9.4B–$9.6B (HON consolidated Q2 guide; HONA segment implied ~$4.4B–$4.6B)</w:t>
            </w:r>
          </w:p>
        </w:tc>
        <w:tc>
          <w:tcPr>
            <w:tcW w:type="dxa" w:w="1234"/>
          </w:tcPr>
          <w:p>
            <w:r>
              <w:rPr>
                <w:rFonts w:ascii="Calibri" w:hAnsi="Calibri"/>
                <w:sz w:val="22"/>
              </w:rPr>
              <w:t>~+0.2% above midpoint</w:t>
            </w:r>
          </w:p>
        </w:tc>
      </w:tr>
      <w:tr>
        <w:tc>
          <w:tcPr>
            <w:tcW w:type="dxa" w:w="1234"/>
          </w:tcPr>
          <w:p>
            <w:r>
              <w:rPr>
                <w:rFonts w:ascii="Calibri" w:hAnsi="Calibri"/>
                <w:sz w:val="22"/>
              </w:rPr>
              <w:t>Organic Growth (%)</w:t>
            </w:r>
          </w:p>
        </w:tc>
        <w:tc>
          <w:tcPr>
            <w:tcW w:type="dxa" w:w="1234"/>
          </w:tcPr>
          <w:p>
            <w:r>
              <w:rPr>
                <w:rFonts w:ascii="Calibri" w:hAnsi="Calibri"/>
                <w:sz w:val="22"/>
              </w:rPr>
              <w:t>6%</w:t>
            </w:r>
          </w:p>
        </w:tc>
        <w:tc>
          <w:tcPr>
            <w:tcW w:type="dxa" w:w="1234"/>
          </w:tcPr>
          <w:p>
            <w:r>
              <w:rPr>
                <w:rFonts w:ascii="Calibri" w:hAnsi="Calibri"/>
                <w:sz w:val="22"/>
              </w:rPr>
              <w:t>7%</w:t>
            </w:r>
          </w:p>
        </w:tc>
        <w:tc>
          <w:tcPr>
            <w:tcW w:type="dxa" w:w="1234"/>
          </w:tcPr>
          <w:p>
            <w:r>
              <w:rPr>
                <w:rFonts w:ascii="Calibri" w:hAnsi="Calibri"/>
                <w:sz w:val="22"/>
              </w:rPr>
              <w:t>~7.4%</w:t>
            </w:r>
          </w:p>
        </w:tc>
        <w:tc>
          <w:tcPr>
            <w:tcW w:type="dxa" w:w="1234"/>
          </w:tcPr>
          <w:p>
            <w:r>
              <w:rPr>
                <w:rFonts w:ascii="Calibri" w:hAnsi="Calibri"/>
                <w:sz w:val="22"/>
              </w:rPr>
              <w:t>+0.4 pts YoY</w:t>
            </w:r>
          </w:p>
        </w:tc>
        <w:tc>
          <w:tcPr>
            <w:tcW w:type="dxa" w:w="1234"/>
          </w:tcPr>
          <w:p>
            <w:r>
              <w:rPr>
                <w:rFonts w:ascii="Calibri" w:hAnsi="Calibri"/>
                <w:sz w:val="22"/>
              </w:rPr>
              <w:t>2%–4% (HON consolidated; HONA segment guided higher)</w:t>
            </w:r>
          </w:p>
        </w:tc>
        <w:tc>
          <w:tcPr>
            <w:tcW w:type="dxa" w:w="1234"/>
          </w:tcPr>
          <w:p>
            <w:r>
              <w:rPr>
                <w:rFonts w:ascii="Calibri" w:hAnsi="Calibri"/>
                <w:sz w:val="22"/>
              </w:rPr>
              <w:t>Above guidance midpoint</w:t>
            </w:r>
          </w:p>
        </w:tc>
      </w:tr>
      <w:tr>
        <w:tc>
          <w:tcPr>
            <w:tcW w:type="dxa" w:w="1234"/>
          </w:tcPr>
          <w:p>
            <w:r>
              <w:rPr>
                <w:rFonts w:ascii="Calibri" w:hAnsi="Calibri"/>
                <w:sz w:val="22"/>
              </w:rPr>
              <w:t>Adj. Operating EPS ($)</w:t>
            </w:r>
          </w:p>
        </w:tc>
        <w:tc>
          <w:tcPr>
            <w:tcW w:type="dxa" w:w="1234"/>
          </w:tcPr>
          <w:p>
            <w:r>
              <w:rPr>
                <w:rFonts w:ascii="Calibri" w:hAnsi="Calibri"/>
                <w:sz w:val="22"/>
              </w:rPr>
              <w:t>$2.00</w:t>
            </w:r>
          </w:p>
        </w:tc>
        <w:tc>
          <w:tcPr>
            <w:tcW w:type="dxa" w:w="1234"/>
          </w:tcPr>
          <w:p>
            <w:r>
              <w:rPr>
                <w:rFonts w:ascii="Calibri" w:hAnsi="Calibri"/>
                <w:sz w:val="22"/>
              </w:rPr>
              <w:t>$2.37</w:t>
            </w:r>
          </w:p>
        </w:tc>
        <w:tc>
          <w:tcPr>
            <w:tcW w:type="dxa" w:w="1234"/>
          </w:tcPr>
          <w:p>
            <w:r>
              <w:rPr>
                <w:rFonts w:ascii="Calibri" w:hAnsi="Calibri"/>
                <w:sz w:val="22"/>
              </w:rPr>
              <w:t>$2.11</w:t>
            </w:r>
          </w:p>
        </w:tc>
        <w:tc>
          <w:tcPr>
            <w:tcW w:type="dxa" w:w="1234"/>
          </w:tcPr>
          <w:p>
            <w:r>
              <w:rPr>
                <w:rFonts w:ascii="Calibri" w:hAnsi="Calibri"/>
                <w:sz w:val="22"/>
              </w:rPr>
              <w:t>−11% YoY</w:t>
            </w:r>
          </w:p>
        </w:tc>
        <w:tc>
          <w:tcPr>
            <w:tcW w:type="dxa" w:w="1234"/>
          </w:tcPr>
          <w:p>
            <w:r>
              <w:rPr>
                <w:rFonts w:ascii="Calibri" w:hAnsi="Calibri"/>
                <w:sz w:val="22"/>
              </w:rPr>
              <w:t>$2.35–$2.45 (HON consolidated Q2 adj. EPS guide)</w:t>
            </w:r>
          </w:p>
        </w:tc>
        <w:tc>
          <w:tcPr>
            <w:tcW w:type="dxa" w:w="1234"/>
          </w:tcPr>
          <w:p>
            <w:r>
              <w:rPr>
                <w:rFonts w:ascii="Calibri" w:hAnsi="Calibri"/>
                <w:sz w:val="22"/>
              </w:rPr>
              <w:t>N/A — HONA standalone EPS not separately guided</w:t>
            </w:r>
          </w:p>
        </w:tc>
      </w:tr>
      <w:tr>
        <w:tc>
          <w:tcPr>
            <w:tcW w:type="dxa" w:w="1234"/>
          </w:tcPr>
          <w:p>
            <w:r>
              <w:rPr>
                <w:rFonts w:ascii="Calibri" w:hAnsi="Calibri"/>
                <w:sz w:val="22"/>
              </w:rPr>
              <w:t>EBIT — Operating ($B)</w:t>
            </w:r>
          </w:p>
        </w:tc>
        <w:tc>
          <w:tcPr>
            <w:tcW w:type="dxa" w:w="1234"/>
          </w:tcPr>
          <w:p>
            <w:r>
              <w:rPr>
                <w:rFonts w:ascii="Calibri" w:hAnsi="Calibri"/>
                <w:sz w:val="22"/>
              </w:rPr>
              <w:t>$1.088B</w:t>
            </w:r>
          </w:p>
        </w:tc>
        <w:tc>
          <w:tcPr>
            <w:tcW w:type="dxa" w:w="1234"/>
          </w:tcPr>
          <w:p>
            <w:r>
              <w:rPr>
                <w:rFonts w:ascii="Calibri" w:hAnsi="Calibri"/>
                <w:sz w:val="22"/>
              </w:rPr>
              <w:t>$1.066B</w:t>
            </w:r>
          </w:p>
        </w:tc>
        <w:tc>
          <w:tcPr>
            <w:tcW w:type="dxa" w:w="1234"/>
          </w:tcPr>
          <w:p>
            <w:r>
              <w:rPr>
                <w:rFonts w:ascii="Calibri" w:hAnsi="Calibri"/>
                <w:sz w:val="22"/>
              </w:rPr>
              <w:t>$1.144B</w:t>
            </w:r>
          </w:p>
        </w:tc>
        <w:tc>
          <w:tcPr>
            <w:tcW w:type="dxa" w:w="1234"/>
          </w:tcPr>
          <w:p>
            <w:r>
              <w:rPr>
                <w:rFonts w:ascii="Calibri" w:hAnsi="Calibri"/>
                <w:sz w:val="22"/>
              </w:rPr>
              <w:t>+7.3% YoY</w:t>
            </w:r>
          </w:p>
        </w:tc>
        <w:tc>
          <w:tcPr>
            <w:tcW w:type="dxa" w:w="1234"/>
          </w:tcPr>
          <w:p>
            <w:r>
              <w:rPr>
                <w:rFonts w:ascii="Calibri" w:hAnsi="Calibri"/>
                <w:sz w:val="22"/>
              </w:rPr>
              <w:t>Segment margin 22.2%–22.5% (HON Q2 guide)</w:t>
            </w:r>
          </w:p>
        </w:tc>
        <w:tc>
          <w:tcPr>
            <w:tcW w:type="dxa" w:w="1234"/>
          </w:tcPr>
          <w:p>
            <w:r>
              <w:rPr>
                <w:rFonts w:ascii="Calibri" w:hAnsi="Calibri"/>
                <w:sz w:val="22"/>
              </w:rPr>
              <w:t>~+0.1 pts above midpoint</w:t>
            </w:r>
          </w:p>
        </w:tc>
      </w:tr>
      <w:tr>
        <w:tc>
          <w:tcPr>
            <w:tcW w:type="dxa" w:w="1234"/>
          </w:tcPr>
          <w:p>
            <w:r>
              <w:rPr>
                <w:rFonts w:ascii="Calibri" w:hAnsi="Calibri"/>
                <w:sz w:val="22"/>
              </w:rPr>
              <w:t>EBIT Margin — Operating (%)</w:t>
            </w:r>
          </w:p>
        </w:tc>
        <w:tc>
          <w:tcPr>
            <w:tcW w:type="dxa" w:w="1234"/>
          </w:tcPr>
          <w:p>
            <w:r>
              <w:rPr>
                <w:rFonts w:ascii="Calibri" w:hAnsi="Calibri"/>
                <w:sz w:val="22"/>
              </w:rPr>
              <w:t>25.0%</w:t>
            </w:r>
          </w:p>
        </w:tc>
        <w:tc>
          <w:tcPr>
            <w:tcW w:type="dxa" w:w="1234"/>
          </w:tcPr>
          <w:p>
            <w:r>
              <w:rPr>
                <w:rFonts w:ascii="Calibri" w:hAnsi="Calibri"/>
                <w:sz w:val="22"/>
              </w:rPr>
              <w:t>24.9%</w:t>
            </w:r>
          </w:p>
        </w:tc>
        <w:tc>
          <w:tcPr>
            <w:tcW w:type="dxa" w:w="1234"/>
          </w:tcPr>
          <w:p>
            <w:r>
              <w:rPr>
                <w:rFonts w:ascii="Calibri" w:hAnsi="Calibri"/>
                <w:sz w:val="22"/>
              </w:rPr>
              <w:t>24.8%</w:t>
            </w:r>
          </w:p>
        </w:tc>
        <w:tc>
          <w:tcPr>
            <w:tcW w:type="dxa" w:w="1234"/>
          </w:tcPr>
          <w:p>
            <w:r>
              <w:rPr>
                <w:rFonts w:ascii="Calibri" w:hAnsi="Calibri"/>
                <w:sz w:val="22"/>
              </w:rPr>
              <w:t>−0.1 pts YoY</w:t>
            </w:r>
          </w:p>
        </w:tc>
        <w:tc>
          <w:tcPr>
            <w:tcW w:type="dxa" w:w="1234"/>
          </w:tcPr>
          <w:p>
            <w:r>
              <w:rPr>
                <w:rFonts w:ascii="Calibri" w:hAnsi="Calibri"/>
                <w:sz w:val="22"/>
              </w:rPr>
              <w:t>22.2%–22.5% (HON Q2 segment margin guide)</w:t>
            </w:r>
          </w:p>
        </w:tc>
        <w:tc>
          <w:tcPr>
            <w:tcW w:type="dxa" w:w="1234"/>
          </w:tcPr>
          <w:p>
            <w:r>
              <w:rPr>
                <w:rFonts w:ascii="Calibri" w:hAnsi="Calibri"/>
                <w:sz w:val="22"/>
              </w:rPr>
              <w:t>~+230 bps above guidance midpoint</w:t>
            </w:r>
          </w:p>
        </w:tc>
      </w:tr>
      <w:tr>
        <w:tc>
          <w:tcPr>
            <w:tcW w:type="dxa" w:w="1234"/>
          </w:tcPr>
          <w:p>
            <w:r>
              <w:rPr>
                <w:rFonts w:ascii="Calibri" w:hAnsi="Calibri"/>
                <w:sz w:val="22"/>
              </w:rPr>
              <w:t>Commercial Aftermarket Sales ($B)</w:t>
            </w:r>
          </w:p>
        </w:tc>
        <w:tc>
          <w:tcPr>
            <w:tcW w:type="dxa" w:w="1234"/>
          </w:tcPr>
          <w:p>
            <w:r>
              <w:rPr>
                <w:rFonts w:ascii="Calibri" w:hAnsi="Calibri"/>
                <w:sz w:val="22"/>
              </w:rPr>
              <w:t>$1.971B</w:t>
            </w:r>
          </w:p>
        </w:tc>
        <w:tc>
          <w:tcPr>
            <w:tcW w:type="dxa" w:w="1234"/>
          </w:tcPr>
          <w:p>
            <w:r>
              <w:rPr>
                <w:rFonts w:ascii="Calibri" w:hAnsi="Calibri"/>
                <w:sz w:val="22"/>
              </w:rPr>
              <w:t>$1.881B</w:t>
            </w:r>
          </w:p>
        </w:tc>
        <w:tc>
          <w:tcPr>
            <w:tcW w:type="dxa" w:w="1234"/>
          </w:tcPr>
          <w:p>
            <w:r>
              <w:rPr>
                <w:rFonts w:ascii="Calibri" w:hAnsi="Calibri"/>
                <w:sz w:val="22"/>
              </w:rPr>
              <w:t>$2.024B</w:t>
            </w:r>
          </w:p>
        </w:tc>
        <w:tc>
          <w:tcPr>
            <w:tcW w:type="dxa" w:w="1234"/>
          </w:tcPr>
          <w:p>
            <w:r>
              <w:rPr>
                <w:rFonts w:ascii="Calibri" w:hAnsi="Calibri"/>
                <w:sz w:val="22"/>
              </w:rPr>
              <w:t>+7.6% YoY</w:t>
            </w:r>
          </w:p>
        </w:tc>
        <w:tc>
          <w:tcPr>
            <w:tcW w:type="dxa" w:w="1234"/>
          </w:tcPr>
          <w:p>
            <w:r>
              <w:rPr>
                <w:rFonts w:ascii="Calibri" w:hAnsi="Calibri"/>
                <w:sz w:val="22"/>
              </w:rPr>
              <w:t>No standalone guidance</w:t>
            </w:r>
          </w:p>
        </w:tc>
        <w:tc>
          <w:tcPr>
            <w:tcW w:type="dxa" w:w="1234"/>
          </w:tcPr>
          <w:p>
            <w:r>
              <w:rPr>
                <w:rFonts w:ascii="Calibri" w:hAnsi="Calibri"/>
                <w:sz w:val="22"/>
              </w:rPr>
              <w:t>N/A</w:t>
            </w:r>
          </w:p>
        </w:tc>
      </w:tr>
      <w:tr>
        <w:tc>
          <w:tcPr>
            <w:tcW w:type="dxa" w:w="1234"/>
          </w:tcPr>
          <w:p>
            <w:r>
              <w:rPr>
                <w:rFonts w:ascii="Calibri" w:hAnsi="Calibri"/>
                <w:sz w:val="22"/>
              </w:rPr>
              <w:t>Commercial OE Sales ($B)</w:t>
            </w:r>
          </w:p>
        </w:tc>
        <w:tc>
          <w:tcPr>
            <w:tcW w:type="dxa" w:w="1234"/>
          </w:tcPr>
          <w:p>
            <w:r>
              <w:rPr>
                <w:rFonts w:ascii="Calibri" w:hAnsi="Calibri"/>
                <w:sz w:val="22"/>
              </w:rPr>
              <w:t>$0.657B</w:t>
            </w:r>
          </w:p>
        </w:tc>
        <w:tc>
          <w:tcPr>
            <w:tcW w:type="dxa" w:w="1234"/>
          </w:tcPr>
          <w:p>
            <w:r>
              <w:rPr>
                <w:rFonts w:ascii="Calibri" w:hAnsi="Calibri"/>
                <w:sz w:val="22"/>
              </w:rPr>
              <w:t>$0.640B</w:t>
            </w:r>
          </w:p>
        </w:tc>
        <w:tc>
          <w:tcPr>
            <w:tcW w:type="dxa" w:w="1234"/>
          </w:tcPr>
          <w:p>
            <w:r>
              <w:rPr>
                <w:rFonts w:ascii="Calibri" w:hAnsi="Calibri"/>
                <w:sz w:val="22"/>
              </w:rPr>
              <w:t>$0.698B</w:t>
            </w:r>
          </w:p>
        </w:tc>
        <w:tc>
          <w:tcPr>
            <w:tcW w:type="dxa" w:w="1234"/>
          </w:tcPr>
          <w:p>
            <w:r>
              <w:rPr>
                <w:rFonts w:ascii="Calibri" w:hAnsi="Calibri"/>
                <w:sz w:val="22"/>
              </w:rPr>
              <w:t>+9.0% YoY</w:t>
            </w:r>
          </w:p>
        </w:tc>
        <w:tc>
          <w:tcPr>
            <w:tcW w:type="dxa" w:w="1234"/>
          </w:tcPr>
          <w:p>
            <w:r>
              <w:rPr>
                <w:rFonts w:ascii="Calibri" w:hAnsi="Calibri"/>
                <w:sz w:val="22"/>
              </w:rPr>
              <w:t>No standalone guidance</w:t>
            </w:r>
          </w:p>
        </w:tc>
        <w:tc>
          <w:tcPr>
            <w:tcW w:type="dxa" w:w="1234"/>
          </w:tcPr>
          <w:p>
            <w:r>
              <w:rPr>
                <w:rFonts w:ascii="Calibri" w:hAnsi="Calibri"/>
                <w:sz w:val="22"/>
              </w:rPr>
              <w:t>N/A</w:t>
            </w:r>
          </w:p>
        </w:tc>
      </w:tr>
      <w:tr>
        <w:tc>
          <w:tcPr>
            <w:tcW w:type="dxa" w:w="1234"/>
          </w:tcPr>
          <w:p>
            <w:r>
              <w:rPr>
                <w:rFonts w:ascii="Calibri" w:hAnsi="Calibri"/>
                <w:sz w:val="22"/>
              </w:rPr>
              <w:t>Defense &amp; Space Sales ($B)</w:t>
            </w:r>
          </w:p>
        </w:tc>
        <w:tc>
          <w:tcPr>
            <w:tcW w:type="dxa" w:w="1234"/>
          </w:tcPr>
          <w:p>
            <w:r>
              <w:rPr>
                <w:rFonts w:ascii="Calibri" w:hAnsi="Calibri"/>
                <w:sz w:val="22"/>
              </w:rPr>
              <w:t>$1.724B</w:t>
            </w:r>
          </w:p>
        </w:tc>
        <w:tc>
          <w:tcPr>
            <w:tcW w:type="dxa" w:w="1234"/>
          </w:tcPr>
          <w:p>
            <w:r>
              <w:rPr>
                <w:rFonts w:ascii="Calibri" w:hAnsi="Calibri"/>
                <w:sz w:val="22"/>
              </w:rPr>
              <w:t>$1.768B</w:t>
            </w:r>
          </w:p>
        </w:tc>
        <w:tc>
          <w:tcPr>
            <w:tcW w:type="dxa" w:w="1234"/>
          </w:tcPr>
          <w:p>
            <w:r>
              <w:rPr>
                <w:rFonts w:ascii="Calibri" w:hAnsi="Calibri"/>
                <w:sz w:val="22"/>
              </w:rPr>
              <w:t>$1.878B</w:t>
            </w:r>
          </w:p>
        </w:tc>
        <w:tc>
          <w:tcPr>
            <w:tcW w:type="dxa" w:w="1234"/>
          </w:tcPr>
          <w:p>
            <w:r>
              <w:rPr>
                <w:rFonts w:ascii="Calibri" w:hAnsi="Calibri"/>
                <w:sz w:val="22"/>
              </w:rPr>
              <w:t>+6.2% YoY</w:t>
            </w:r>
          </w:p>
        </w:tc>
        <w:tc>
          <w:tcPr>
            <w:tcW w:type="dxa" w:w="1234"/>
          </w:tcPr>
          <w:p>
            <w:r>
              <w:rPr>
                <w:rFonts w:ascii="Calibri" w:hAnsi="Calibri"/>
                <w:sz w:val="22"/>
              </w:rPr>
              <w:t>No standalone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$0.015B</w:t>
            </w:r>
          </w:p>
        </w:tc>
        <w:tc>
          <w:tcPr>
            <w:tcW w:type="dxa" w:w="1234"/>
          </w:tcPr>
          <w:p>
            <w:r>
              <w:rPr>
                <w:rFonts w:ascii="Calibri" w:hAnsi="Calibri"/>
                <w:sz w:val="22"/>
              </w:rPr>
              <w:t>N/A — not reported</w:t>
            </w:r>
          </w:p>
        </w:tc>
        <w:tc>
          <w:tcPr>
            <w:tcW w:type="dxa" w:w="1234"/>
          </w:tcPr>
          <w:p>
            <w:r>
              <w:rPr>
                <w:rFonts w:ascii="Calibri" w:hAnsi="Calibri"/>
                <w:sz w:val="22"/>
              </w:rPr>
              <w:t>$0.377B</w:t>
            </w:r>
          </w:p>
        </w:tc>
        <w:tc>
          <w:tcPr>
            <w:tcW w:type="dxa" w:w="1234"/>
          </w:tcPr>
          <w:p>
            <w:r>
              <w:rPr>
                <w:rFonts w:ascii="Calibri" w:hAnsi="Calibri"/>
                <w:sz w:val="22"/>
              </w:rPr>
              <w:t>N/A</w:t>
            </w:r>
          </w:p>
        </w:tc>
        <w:tc>
          <w:tcPr>
            <w:tcW w:type="dxa" w:w="1234"/>
          </w:tcPr>
          <w:p>
            <w:r>
              <w:rPr>
                <w:rFonts w:ascii="Calibri" w:hAnsi="Calibri"/>
                <w:sz w:val="22"/>
              </w:rPr>
              <w:t>No standalone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KPI figures sourced from Visible Alpha. Note: HONA was reported as the Aerospace Technologies segment within Honeywell International (HON) through Q2 2026; standalone carve-out financials are being issued for the first time with this August 5 print. Q2 2026 guidance figures reflect HON’s consolidated Q2 guidance issued April 23, 2026, with HONA segment implied ranges. YoY EPS decline reflects higher standalone tax rate (~21% in Q2 vs. blended HON rate) as guided on the Q1 2026 call.</w:t>
      </w:r>
    </w:p>
    <w:p>
      <w:pPr>
        <w:pStyle w:val="Heading3"/>
      </w:pPr>
      <w:r>
        <w:rPr>
          <w:rFonts w:ascii="Calibri" w:hAnsi="Calibri"/>
          <w:b/>
          <w:color w:val="3B4259"/>
          <w:sz w:val="24"/>
        </w:rPr>
        <w:t>Table 2 — Beat / Miss History (Last 8 Quarters, Top 2 KPIs)</w:t>
      </w:r>
    </w:p>
    <w:p>
      <w:r>
        <w:rPr>
          <w:rFonts w:ascii="Calibri" w:hAnsi="Calibri"/>
          <w:b/>
          <w:color w:val="525866"/>
          <w:sz w:val="22"/>
        </w:rPr>
        <w:t xml:space="preserve">Note: </w:t>
      </w:r>
      <w:r>
        <w:rPr>
          <w:rFonts w:ascii="Calibri" w:hAnsi="Calibri"/>
          <w:i/>
          <w:color w:val="525866"/>
          <w:sz w:val="22"/>
        </w:rPr>
        <w:t>HONA was part of Honeywell International (HON) through Q2 2026. Beat/miss history below reflects the Aerospace Technologies segment performance vs. HON’s consolidated consensus, which is the closest available proxy. Standalone HONA consensus history begins with this Q2 2026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Net Sales (Aero Segment)</w:t>
            </w:r>
          </w:p>
        </w:tc>
        <w:tc>
          <w:tcPr>
            <w:tcW w:type="dxa" w:w="1440"/>
          </w:tcPr>
          <w:p>
            <w:r>
              <w:rPr>
                <w:rFonts w:ascii="Calibri" w:hAnsi="Calibri"/>
                <w:sz w:val="22"/>
              </w:rPr>
              <w:t>$4.289B</w:t>
            </w:r>
          </w:p>
        </w:tc>
        <w:tc>
          <w:tcPr>
            <w:tcW w:type="dxa" w:w="1440"/>
          </w:tcPr>
          <w:p>
            <w:r>
              <w:rPr>
                <w:rFonts w:ascii="Calibri" w:hAnsi="Calibri"/>
                <w:sz w:val="22"/>
              </w:rPr>
              <w:t>N/A — segment-level consensus not available pre-spinoff</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2024</w:t>
            </w:r>
          </w:p>
        </w:tc>
        <w:tc>
          <w:tcPr>
            <w:tcW w:type="dxa" w:w="1440"/>
          </w:tcPr>
          <w:p>
            <w:r>
              <w:rPr>
                <w:rFonts w:ascii="Calibri" w:hAnsi="Calibri"/>
                <w:sz w:val="22"/>
              </w:rPr>
              <w:t>Net Sales (Aero Segment)</w:t>
            </w:r>
          </w:p>
        </w:tc>
        <w:tc>
          <w:tcPr>
            <w:tcW w:type="dxa" w:w="1440"/>
          </w:tcPr>
          <w:p>
            <w:r>
              <w:rPr>
                <w:rFonts w:ascii="Calibri" w:hAnsi="Calibri"/>
                <w:sz w:val="22"/>
              </w:rPr>
              <w:t>$4.533B</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2024</w:t>
            </w:r>
          </w:p>
        </w:tc>
        <w:tc>
          <w:tcPr>
            <w:tcW w:type="dxa" w:w="1440"/>
          </w:tcPr>
          <w:p>
            <w:r>
              <w:rPr>
                <w:rFonts w:ascii="Calibri" w:hAnsi="Calibri"/>
                <w:sz w:val="22"/>
              </w:rPr>
              <w:t>Net Sales (Aero Segment)</w:t>
            </w:r>
          </w:p>
        </w:tc>
        <w:tc>
          <w:tcPr>
            <w:tcW w:type="dxa" w:w="1440"/>
          </w:tcPr>
          <w:p>
            <w:r>
              <w:rPr>
                <w:rFonts w:ascii="Calibri" w:hAnsi="Calibri"/>
                <w:sz w:val="22"/>
              </w:rPr>
              <w:t>$4.508B</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Net Sales (Aero Segment)</w:t>
            </w:r>
          </w:p>
        </w:tc>
        <w:tc>
          <w:tcPr>
            <w:tcW w:type="dxa" w:w="1440"/>
          </w:tcPr>
          <w:p>
            <w:r>
              <w:rPr>
                <w:rFonts w:ascii="Calibri" w:hAnsi="Calibri"/>
                <w:sz w:val="22"/>
              </w:rPr>
              <w:t>$4.352B</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2025</w:t>
            </w:r>
          </w:p>
        </w:tc>
        <w:tc>
          <w:tcPr>
            <w:tcW w:type="dxa" w:w="1440"/>
          </w:tcPr>
          <w:p>
            <w:r>
              <w:rPr>
                <w:rFonts w:ascii="Calibri" w:hAnsi="Calibri"/>
                <w:sz w:val="22"/>
              </w:rPr>
              <w:t>Net Sales (Aero Segment)</w:t>
            </w:r>
          </w:p>
        </w:tc>
        <w:tc>
          <w:tcPr>
            <w:tcW w:type="dxa" w:w="1440"/>
          </w:tcPr>
          <w:p>
            <w:r>
              <w:rPr>
                <w:rFonts w:ascii="Calibri" w:hAnsi="Calibri"/>
                <w:sz w:val="22"/>
              </w:rPr>
              <w:t>$4.289B</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Q3 2025</w:t>
            </w:r>
          </w:p>
        </w:tc>
        <w:tc>
          <w:tcPr>
            <w:tcW w:type="dxa" w:w="1440"/>
          </w:tcPr>
          <w:p>
            <w:r>
              <w:rPr>
                <w:rFonts w:ascii="Calibri" w:hAnsi="Calibri"/>
                <w:sz w:val="22"/>
              </w:rPr>
              <w:t>Net Sales (Aero Segment)</w:t>
            </w:r>
          </w:p>
        </w:tc>
        <w:tc>
          <w:tcPr>
            <w:tcW w:type="dxa" w:w="1440"/>
          </w:tcPr>
          <w:p>
            <w:r>
              <w:rPr>
                <w:rFonts w:ascii="Calibri" w:hAnsi="Calibri"/>
                <w:sz w:val="22"/>
              </w:rPr>
              <w:t>$4.533B</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Q4 2025</w:t>
            </w:r>
          </w:p>
        </w:tc>
        <w:tc>
          <w:tcPr>
            <w:tcW w:type="dxa" w:w="1440"/>
          </w:tcPr>
          <w:p>
            <w:r>
              <w:rPr>
                <w:rFonts w:ascii="Calibri" w:hAnsi="Calibri"/>
                <w:sz w:val="22"/>
              </w:rPr>
              <w:t>Net Sales (Aero Segment)</w:t>
            </w:r>
          </w:p>
        </w:tc>
        <w:tc>
          <w:tcPr>
            <w:tcW w:type="dxa" w:w="1440"/>
          </w:tcPr>
          <w:p>
            <w:r>
              <w:rPr>
                <w:rFonts w:ascii="Calibri" w:hAnsi="Calibri"/>
                <w:sz w:val="22"/>
              </w:rPr>
              <w:t>$4.508B</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2026</w:t>
            </w:r>
          </w:p>
        </w:tc>
        <w:tc>
          <w:tcPr>
            <w:tcW w:type="dxa" w:w="1440"/>
          </w:tcPr>
          <w:p>
            <w:r>
              <w:rPr>
                <w:rFonts w:ascii="Calibri" w:hAnsi="Calibri"/>
                <w:sz w:val="22"/>
              </w:rPr>
              <w:t>Net Sales (Aero Segment)</w:t>
            </w:r>
          </w:p>
        </w:tc>
        <w:tc>
          <w:tcPr>
            <w:tcW w:type="dxa" w:w="1440"/>
          </w:tcPr>
          <w:p>
            <w:r>
              <w:rPr>
                <w:rFonts w:ascii="Calibri" w:hAnsi="Calibri"/>
                <w:sz w:val="22"/>
              </w:rPr>
              <w:t>$4.352B</w:t>
            </w:r>
          </w:p>
        </w:tc>
        <w:tc>
          <w:tcPr>
            <w:tcW w:type="dxa" w:w="1440"/>
          </w:tcPr>
          <w:p>
            <w:r>
              <w:rPr>
                <w:rFonts w:ascii="Calibri" w:hAnsi="Calibri"/>
                <w:sz w:val="22"/>
              </w:rPr>
              <w:t>N/A — first standalone consensus period is Q2 2026</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Beat/Miss Pattern: </w:t>
      </w:r>
      <w:r>
        <w:rPr>
          <w:rFonts w:ascii="Calibri" w:hAnsi="Calibri"/>
          <w:color w:val="525866"/>
          <w:sz w:val="22"/>
        </w:rPr>
        <w:t>Standalone HONA consensus history begins with the Q2 2026 print; segment-level beat/miss data vs. a dedicated HONA consensus is not available for prior quarters as the company was embedded within HON. The Aerospace Technologies segment consistently grew revenue sequentially from Q2 2024 through Q4 2025 before a seasonal Q1 2026 step-down, suggesting a business with predictable seasonal patterns and no history of large negative surprises at the segment level.</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The last formal guidance for HONA’s Q2 2026 was issued on HON’s Q1 2026 earnings call (April 23, 2026) and has not been revised since. </w:t>
      </w:r>
      <w:r>
        <w:rPr>
          <w:rFonts w:ascii="Calibri" w:hAnsi="Calibri"/>
          <w:b/>
          <w:color w:val="525866"/>
          <w:sz w:val="22"/>
        </w:rPr>
        <w:t>This is HONA’s first standalone print, so August 5 will be the first time management issues its own independent full-year guidance</w:t>
      </w:r>
      <w:r>
        <w:rPr>
          <w:rFonts w:ascii="Calibri" w:hAnsi="Calibri"/>
          <w:color w:val="525866"/>
          <w:sz w:val="22"/>
        </w:rPr>
        <w:t xml:space="preserve"> — the tone and specificity of that guidance is the single most important event of the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(HON Q1 2026 Call,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 (HONA Segment Implied)</w:t>
            </w:r>
          </w:p>
        </w:tc>
        <w:tc>
          <w:tcPr>
            <w:tcW w:type="dxa" w:w="1728"/>
          </w:tcPr>
          <w:p>
            <w:r>
              <w:rPr>
                <w:rFonts w:ascii="Calibri" w:hAnsi="Calibri"/>
                <w:sz w:val="22"/>
              </w:rPr>
              <w:t>HON consolidated Q2 guide: $9.4B–$9.6B; organic growth 2%–4%; HONA segment implied ~$4.4B–$4.6B</w:t>
            </w:r>
          </w:p>
        </w:tc>
        <w:tc>
          <w:tcPr>
            <w:tcW w:type="dxa" w:w="1728"/>
          </w:tcPr>
          <w:p>
            <w:r>
              <w:rPr>
                <w:rFonts w:ascii="Calibri" w:hAnsi="Calibri"/>
                <w:sz w:val="22"/>
              </w:rPr>
              <w:t>—</w:t>
            </w:r>
          </w:p>
        </w:tc>
        <w:tc>
          <w:tcPr>
            <w:tcW w:type="dxa" w:w="1728"/>
          </w:tcPr>
          <w:p>
            <w:r>
              <w:rPr>
                <w:rFonts w:ascii="Calibri" w:hAnsi="Calibri"/>
                <w:sz w:val="22"/>
              </w:rPr>
              <w:t>$4.609B</w:t>
            </w:r>
          </w:p>
        </w:tc>
        <w:tc>
          <w:tcPr>
            <w:tcW w:type="dxa" w:w="1728"/>
          </w:tcPr>
          <w:p>
            <w:r>
              <w:rPr>
                <w:rFonts w:ascii="Calibri" w:hAnsi="Calibri"/>
                <w:sz w:val="22"/>
              </w:rPr>
              <w:t>No post-earnings revision; HONA segment guidance embedded in HON consolidated guide. Standalone HONA guidance to be issued Aug 5.</w:t>
            </w:r>
          </w:p>
        </w:tc>
      </w:tr>
      <w:tr>
        <w:tc>
          <w:tcPr>
            <w:tcW w:type="dxa" w:w="1728"/>
          </w:tcPr>
          <w:p>
            <w:r>
              <w:rPr>
                <w:rFonts w:ascii="Calibri" w:hAnsi="Calibri"/>
                <w:sz w:val="22"/>
              </w:rPr>
              <w:t>Q2 2026 Adj. EPS (HONA Standalone)</w:t>
            </w:r>
          </w:p>
        </w:tc>
        <w:tc>
          <w:tcPr>
            <w:tcW w:type="dxa" w:w="1728"/>
          </w:tcPr>
          <w:p>
            <w:r>
              <w:rPr>
                <w:rFonts w:ascii="Calibri" w:hAnsi="Calibri"/>
                <w:sz w:val="22"/>
              </w:rPr>
              <w:t>HON consolidated Q2 adj. EPS: $2.35–$2.45; $0.16 headwind from ~21% standalone tax rate flagged</w:t>
            </w:r>
          </w:p>
        </w:tc>
        <w:tc>
          <w:tcPr>
            <w:tcW w:type="dxa" w:w="1728"/>
          </w:tcPr>
          <w:p>
            <w:r>
              <w:rPr>
                <w:rFonts w:ascii="Calibri" w:hAnsi="Calibri"/>
                <w:sz w:val="22"/>
              </w:rPr>
              <w:t>—</w:t>
            </w:r>
          </w:p>
        </w:tc>
        <w:tc>
          <w:tcPr>
            <w:tcW w:type="dxa" w:w="1728"/>
          </w:tcPr>
          <w:p>
            <w:r>
              <w:rPr>
                <w:rFonts w:ascii="Calibri" w:hAnsi="Calibri"/>
                <w:sz w:val="22"/>
              </w:rPr>
              <w:t>$2.11</w:t>
            </w:r>
          </w:p>
        </w:tc>
        <w:tc>
          <w:tcPr>
            <w:tcW w:type="dxa" w:w="1728"/>
          </w:tcPr>
          <w:p>
            <w:r>
              <w:rPr>
                <w:rFonts w:ascii="Calibri" w:hAnsi="Calibri"/>
                <w:sz w:val="22"/>
              </w:rPr>
              <w:t>No revision. Consensus reflects higher standalone tax rate vs. blended HON rate. HONA-specific EPS guidance not separately issued.</w:t>
            </w:r>
          </w:p>
        </w:tc>
      </w:tr>
      <w:tr>
        <w:tc>
          <w:tcPr>
            <w:tcW w:type="dxa" w:w="1728"/>
          </w:tcPr>
          <w:p>
            <w:r>
              <w:rPr>
                <w:rFonts w:ascii="Calibri" w:hAnsi="Calibri"/>
                <w:sz w:val="22"/>
              </w:rPr>
              <w:t>Q2 2026 Segment Margin</w:t>
            </w:r>
          </w:p>
        </w:tc>
        <w:tc>
          <w:tcPr>
            <w:tcW w:type="dxa" w:w="1728"/>
          </w:tcPr>
          <w:p>
            <w:r>
              <w:rPr>
                <w:rFonts w:ascii="Calibri" w:hAnsi="Calibri"/>
                <w:sz w:val="22"/>
              </w:rPr>
              <w:t>22.2%–22.5% (HON Q2 segment margin guide); down 10 to up 20 bps YoY</w:t>
            </w:r>
          </w:p>
        </w:tc>
        <w:tc>
          <w:tcPr>
            <w:tcW w:type="dxa" w:w="1728"/>
          </w:tcPr>
          <w:p>
            <w:r>
              <w:rPr>
                <w:rFonts w:ascii="Calibri" w:hAnsi="Calibri"/>
                <w:sz w:val="22"/>
              </w:rPr>
              <w:t>—</w:t>
            </w:r>
          </w:p>
        </w:tc>
        <w:tc>
          <w:tcPr>
            <w:tcW w:type="dxa" w:w="1728"/>
          </w:tcPr>
          <w:p>
            <w:r>
              <w:rPr>
                <w:rFonts w:ascii="Calibri" w:hAnsi="Calibri"/>
                <w:sz w:val="22"/>
              </w:rPr>
              <w:t>~24.8% (EBIT margin operating)</w:t>
            </w:r>
          </w:p>
        </w:tc>
        <w:tc>
          <w:tcPr>
            <w:tcW w:type="dxa" w:w="1728"/>
          </w:tcPr>
          <w:p>
            <w:r>
              <w:rPr>
                <w:rFonts w:ascii="Calibri" w:hAnsi="Calibri"/>
                <w:sz w:val="22"/>
              </w:rPr>
              <w:t>Consensus above guidance midpoint; reflects HONA’s historically higher margin vs. HON blended. ~$40M inventory obsolescence charge flagged for Q2 on Q1 call.</w:t>
            </w:r>
          </w:p>
        </w:tc>
      </w:tr>
      <w:tr>
        <w:tc>
          <w:tcPr>
            <w:tcW w:type="dxa" w:w="1728"/>
          </w:tcPr>
          <w:p>
            <w:r>
              <w:rPr>
                <w:rFonts w:ascii="Calibri" w:hAnsi="Calibri"/>
                <w:sz w:val="22"/>
              </w:rPr>
              <w:t>FY 2026 Net Sales (HONA Standalone)</w:t>
            </w:r>
          </w:p>
        </w:tc>
        <w:tc>
          <w:tcPr>
            <w:tcW w:type="dxa" w:w="1728"/>
          </w:tcPr>
          <w:p>
            <w:r>
              <w:rPr>
                <w:rFonts w:ascii="Calibri" w:hAnsi="Calibri"/>
                <w:sz w:val="22"/>
              </w:rPr>
              <w:t>HON FY2026 guide: $38.8B–$39.8B (consolidated, pre-spinoff); HONA implied ~$17.4B–$18.0B based on Form 10 disclosures</w:t>
            </w:r>
          </w:p>
        </w:tc>
        <w:tc>
          <w:tcPr>
            <w:tcW w:type="dxa" w:w="1728"/>
          </w:tcPr>
          <w:p>
            <w:r>
              <w:rPr>
                <w:rFonts w:ascii="Calibri" w:hAnsi="Calibri"/>
                <w:sz w:val="22"/>
              </w:rPr>
              <w:t>—</w:t>
            </w:r>
          </w:p>
        </w:tc>
        <w:tc>
          <w:tcPr>
            <w:tcW w:type="dxa" w:w="1728"/>
          </w:tcPr>
          <w:p>
            <w:r>
              <w:rPr>
                <w:rFonts w:ascii="Calibri" w:hAnsi="Calibri"/>
                <w:sz w:val="22"/>
              </w:rPr>
              <w:t>$19.04B</w:t>
            </w:r>
          </w:p>
        </w:tc>
        <w:tc>
          <w:tcPr>
            <w:tcW w:type="dxa" w:w="1728"/>
          </w:tcPr>
          <w:p>
            <w:r>
              <w:rPr>
                <w:rFonts w:ascii="Calibri" w:hAnsi="Calibri"/>
                <w:sz w:val="22"/>
              </w:rPr>
              <w:t>HON reaffirmed FY2026 consolidated guide on Q1 call. HONA standalone FY guidance to be issued for the first time on Aug 5. Consensus implies ~9.4% YoY growth.</w:t>
            </w:r>
          </w:p>
        </w:tc>
      </w:tr>
      <w:tr>
        <w:tc>
          <w:tcPr>
            <w:tcW w:type="dxa" w:w="1728"/>
          </w:tcPr>
          <w:p>
            <w:r>
              <w:rPr>
                <w:rFonts w:ascii="Calibri" w:hAnsi="Calibri"/>
                <w:sz w:val="22"/>
              </w:rPr>
              <w:t>FY 2026 Adj. EPS (HONA Standalone)</w:t>
            </w:r>
          </w:p>
        </w:tc>
        <w:tc>
          <w:tcPr>
            <w:tcW w:type="dxa" w:w="1728"/>
          </w:tcPr>
          <w:p>
            <w:r>
              <w:rPr>
                <w:rFonts w:ascii="Calibri" w:hAnsi="Calibri"/>
                <w:sz w:val="22"/>
              </w:rPr>
              <w:t>HON FY2026 adj. EPS guide: $10.35–$10.65 (consolidated); HONA standalone not separately guided pre-spinoff</w:t>
            </w:r>
          </w:p>
        </w:tc>
        <w:tc>
          <w:tcPr>
            <w:tcW w:type="dxa" w:w="1728"/>
          </w:tcPr>
          <w:p>
            <w:r>
              <w:rPr>
                <w:rFonts w:ascii="Calibri" w:hAnsi="Calibri"/>
                <w:sz w:val="22"/>
              </w:rPr>
              <w:t>—</w:t>
            </w:r>
          </w:p>
        </w:tc>
        <w:tc>
          <w:tcPr>
            <w:tcW w:type="dxa" w:w="1728"/>
          </w:tcPr>
          <w:p>
            <w:r>
              <w:rPr>
                <w:rFonts w:ascii="Calibri" w:hAnsi="Calibri"/>
                <w:sz w:val="22"/>
              </w:rPr>
              <w:t>$8.88</w:t>
            </w:r>
          </w:p>
        </w:tc>
        <w:tc>
          <w:tcPr>
            <w:tcW w:type="dxa" w:w="1728"/>
          </w:tcPr>
          <w:p>
            <w:r>
              <w:rPr>
                <w:rFonts w:ascii="Calibri" w:hAnsi="Calibri"/>
                <w:sz w:val="22"/>
              </w:rPr>
              <w:t>First standalone HONA FY EPS guidance expected Aug 5. Key variable: standalone interest expense, tax rate, and stranded cost removal timeline.</w:t>
            </w:r>
          </w:p>
        </w:tc>
      </w:tr>
      <w:tr>
        <w:tc>
          <w:tcPr>
            <w:tcW w:type="dxa" w:w="1728"/>
          </w:tcPr>
          <w:p>
            <w:r>
              <w:rPr>
                <w:rFonts w:ascii="Calibri" w:hAnsi="Calibri"/>
                <w:sz w:val="22"/>
              </w:rPr>
              <w:t>Supply Chain / Mechanical Parts</w:t>
            </w:r>
          </w:p>
        </w:tc>
        <w:tc>
          <w:tcPr>
            <w:tcW w:type="dxa" w:w="1728"/>
          </w:tcPr>
          <w:p>
            <w:r>
              <w:rPr>
                <w:rFonts w:ascii="Calibri" w:hAnsi="Calibri"/>
                <w:sz w:val="22"/>
              </w:rPr>
              <w:t>Q1 call: “Mechanical supply chain showed sequential improvement during the quarter though material supply continued to limit sales growth”; ~$40M inventory obsolescence charge flagged for Q2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Cautious tone on supply chain; HON Q2 results (Jul 23) showed sequential improvement. Watch for update on Q2 call.</w:t>
            </w:r>
          </w:p>
        </w:tc>
      </w:tr>
    </w:tbl>
    <w:p>
      <w:r>
        <w:br w:type="page"/>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spinoff — the as-of July 4 consensus is nearly identical to current, suggesting the Street has not yet materially re-rated the standalone story. </w:t>
      </w:r>
      <w:r>
        <w:rPr>
          <w:rFonts w:ascii="Calibri" w:hAnsi="Calibri"/>
          <w:b/>
          <w:color w:val="525866"/>
          <w:sz w:val="22"/>
        </w:rPr>
        <w:t>The gap between current consensus and any standalone guidance HONA issues on August 5 will be the key driver of post-print estimate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as of Jul 4, 2026 (Post-Spinoff Baseline)</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$4.612B</w:t>
            </w:r>
          </w:p>
        </w:tc>
        <w:tc>
          <w:tcPr>
            <w:tcW w:type="dxa" w:w="1080"/>
          </w:tcPr>
          <w:p>
            <w:r>
              <w:rPr>
                <w:rFonts w:ascii="Calibri" w:hAnsi="Calibri"/>
                <w:sz w:val="22"/>
              </w:rPr>
              <w:t>$4.609B</w:t>
            </w:r>
          </w:p>
        </w:tc>
        <w:tc>
          <w:tcPr>
            <w:tcW w:type="dxa" w:w="1080"/>
          </w:tcPr>
          <w:p>
            <w:r>
              <w:rPr>
                <w:rFonts w:ascii="Calibri" w:hAnsi="Calibri"/>
                <w:sz w:val="22"/>
              </w:rPr>
              <w:t>−0.1%</w:t>
            </w:r>
          </w:p>
        </w:tc>
        <w:tc>
          <w:tcPr>
            <w:tcW w:type="dxa" w:w="1080"/>
          </w:tcPr>
          <w:p>
            <w:r>
              <w:rPr>
                <w:rFonts w:ascii="Calibri" w:hAnsi="Calibri"/>
                <w:sz w:val="22"/>
              </w:rPr>
              <w:t>~$4.4B–$4.6B (implied from HON Q2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r>
        <w:tc>
          <w:tcPr>
            <w:tcW w:type="dxa" w:w="1080"/>
          </w:tcPr>
          <w:p>
            <w:r>
              <w:rPr>
                <w:rFonts w:ascii="Calibri" w:hAnsi="Calibri"/>
                <w:sz w:val="22"/>
              </w:rPr>
              <w:t>Adj. EPS — Q2 2026</w:t>
            </w:r>
          </w:p>
        </w:tc>
        <w:tc>
          <w:tcPr>
            <w:tcW w:type="dxa" w:w="1080"/>
          </w:tcPr>
          <w:p>
            <w:r>
              <w:rPr>
                <w:rFonts w:ascii="Calibri" w:hAnsi="Calibri"/>
                <w:sz w:val="22"/>
              </w:rPr>
              <w:t>$2.130</w:t>
            </w:r>
          </w:p>
        </w:tc>
        <w:tc>
          <w:tcPr>
            <w:tcW w:type="dxa" w:w="1080"/>
          </w:tcPr>
          <w:p>
            <w:r>
              <w:rPr>
                <w:rFonts w:ascii="Calibri" w:hAnsi="Calibri"/>
                <w:sz w:val="22"/>
              </w:rPr>
              <w:t>$2.111</w:t>
            </w:r>
          </w:p>
        </w:tc>
        <w:tc>
          <w:tcPr>
            <w:tcW w:type="dxa" w:w="1080"/>
          </w:tcPr>
          <w:p>
            <w:r>
              <w:rPr>
                <w:rFonts w:ascii="Calibri" w:hAnsi="Calibri"/>
                <w:sz w:val="22"/>
              </w:rPr>
              <w:t>−0.9%</w:t>
            </w:r>
          </w:p>
        </w:tc>
        <w:tc>
          <w:tcPr>
            <w:tcW w:type="dxa" w:w="1080"/>
          </w:tcPr>
          <w:p>
            <w:r>
              <w:rPr>
                <w:rFonts w:ascii="Calibri" w:hAnsi="Calibri"/>
                <w:sz w:val="22"/>
              </w:rPr>
              <w:t>N/A — HONA standalone not separately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EBIT (Operating) — Q2 2026</w:t>
            </w:r>
          </w:p>
        </w:tc>
        <w:tc>
          <w:tcPr>
            <w:tcW w:type="dxa" w:w="1080"/>
          </w:tcPr>
          <w:p>
            <w:r>
              <w:rPr>
                <w:rFonts w:ascii="Calibri" w:hAnsi="Calibri"/>
                <w:sz w:val="22"/>
              </w:rPr>
              <w:t>$1.147B</w:t>
            </w:r>
          </w:p>
        </w:tc>
        <w:tc>
          <w:tcPr>
            <w:tcW w:type="dxa" w:w="1080"/>
          </w:tcPr>
          <w:p>
            <w:r>
              <w:rPr>
                <w:rFonts w:ascii="Calibri" w:hAnsi="Calibri"/>
                <w:sz w:val="22"/>
              </w:rPr>
              <w:t>$1.144B</w:t>
            </w:r>
          </w:p>
        </w:tc>
        <w:tc>
          <w:tcPr>
            <w:tcW w:type="dxa" w:w="1080"/>
          </w:tcPr>
          <w:p>
            <w:r>
              <w:rPr>
                <w:rFonts w:ascii="Calibri" w:hAnsi="Calibri"/>
                <w:sz w:val="22"/>
              </w:rPr>
              <w:t>−0.2%</w:t>
            </w:r>
          </w:p>
        </w:tc>
        <w:tc>
          <w:tcPr>
            <w:tcW w:type="dxa" w:w="1080"/>
          </w:tcPr>
          <w:p>
            <w:r>
              <w:rPr>
                <w:rFonts w:ascii="Calibri" w:hAnsi="Calibri"/>
                <w:sz w:val="22"/>
              </w:rPr>
              <w:t>Segment margin 22.2%–22.5% (HON Q2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~+230 bps above guidance midpoint</w:t>
            </w:r>
          </w:p>
        </w:tc>
      </w:tr>
      <w:tr>
        <w:tc>
          <w:tcPr>
            <w:tcW w:type="dxa" w:w="1080"/>
          </w:tcPr>
          <w:p>
            <w:r>
              <w:rPr>
                <w:rFonts w:ascii="Calibri" w:hAnsi="Calibri"/>
                <w:sz w:val="22"/>
              </w:rPr>
              <w:t>Net Sales — FY 2026</w:t>
            </w:r>
          </w:p>
        </w:tc>
        <w:tc>
          <w:tcPr>
            <w:tcW w:type="dxa" w:w="1080"/>
          </w:tcPr>
          <w:p>
            <w:r>
              <w:rPr>
                <w:rFonts w:ascii="Calibri" w:hAnsi="Calibri"/>
                <w:sz w:val="22"/>
              </w:rPr>
              <w:t>$19.038B</w:t>
            </w:r>
          </w:p>
        </w:tc>
        <w:tc>
          <w:tcPr>
            <w:tcW w:type="dxa" w:w="1080"/>
          </w:tcPr>
          <w:p>
            <w:r>
              <w:rPr>
                <w:rFonts w:ascii="Calibri" w:hAnsi="Calibri"/>
                <w:sz w:val="22"/>
              </w:rPr>
              <w:t>$19.039B</w:t>
            </w:r>
          </w:p>
        </w:tc>
        <w:tc>
          <w:tcPr>
            <w:tcW w:type="dxa" w:w="1080"/>
          </w:tcPr>
          <w:p>
            <w:r>
              <w:rPr>
                <w:rFonts w:ascii="Calibri" w:hAnsi="Calibri"/>
                <w:sz w:val="22"/>
              </w:rPr>
              <w:t>+0.0%</w:t>
            </w:r>
          </w:p>
        </w:tc>
        <w:tc>
          <w:tcPr>
            <w:tcW w:type="dxa" w:w="1080"/>
          </w:tcPr>
          <w:p>
            <w:r>
              <w:rPr>
                <w:rFonts w:ascii="Calibri" w:hAnsi="Calibri"/>
                <w:sz w:val="22"/>
              </w:rPr>
              <w:t>HON FY2026 consolidated: $38.8B–$39.8B (pre-spinoff); HONA standalone FY guidance TBD Aug 5</w:t>
            </w:r>
          </w:p>
        </w:tc>
        <w:tc>
          <w:tcPr>
            <w:tcW w:type="dxa" w:w="1080"/>
          </w:tcPr>
          <w:p>
            <w:r>
              <w:rPr>
                <w:rFonts w:ascii="Calibri" w:hAnsi="Calibri"/>
                <w:sz w:val="22"/>
              </w:rPr>
              <w:t>TBD Aug 5</w:t>
            </w:r>
          </w:p>
        </w:tc>
        <w:tc>
          <w:tcPr>
            <w:tcW w:type="dxa" w:w="1080"/>
          </w:tcPr>
          <w:p>
            <w:r>
              <w:rPr>
                <w:rFonts w:ascii="Calibri" w:hAnsi="Calibri"/>
                <w:sz w:val="22"/>
              </w:rPr>
              <w:t>—</w:t>
            </w:r>
          </w:p>
        </w:tc>
        <w:tc>
          <w:tcPr>
            <w:tcW w:type="dxa" w:w="1080"/>
          </w:tcPr>
          <w:p>
            <w:r>
              <w:rPr>
                <w:rFonts w:ascii="Calibri" w:hAnsi="Calibri"/>
                <w:sz w:val="22"/>
              </w:rPr>
              <w:t>N/A — standalone guidance not yet issued</w:t>
            </w:r>
          </w:p>
        </w:tc>
      </w:tr>
      <w:tr>
        <w:tc>
          <w:tcPr>
            <w:tcW w:type="dxa" w:w="1080"/>
          </w:tcPr>
          <w:p>
            <w:r>
              <w:rPr>
                <w:rFonts w:ascii="Calibri" w:hAnsi="Calibri"/>
                <w:sz w:val="22"/>
              </w:rPr>
              <w:t>Adj. EPS — FY 2026</w:t>
            </w:r>
          </w:p>
        </w:tc>
        <w:tc>
          <w:tcPr>
            <w:tcW w:type="dxa" w:w="1080"/>
          </w:tcPr>
          <w:p>
            <w:r>
              <w:rPr>
                <w:rFonts w:ascii="Calibri" w:hAnsi="Calibri"/>
                <w:sz w:val="22"/>
              </w:rPr>
              <w:t>$8.924</w:t>
            </w:r>
          </w:p>
        </w:tc>
        <w:tc>
          <w:tcPr>
            <w:tcW w:type="dxa" w:w="1080"/>
          </w:tcPr>
          <w:p>
            <w:r>
              <w:rPr>
                <w:rFonts w:ascii="Calibri" w:hAnsi="Calibri"/>
                <w:sz w:val="22"/>
              </w:rPr>
              <w:t>$8.879</w:t>
            </w:r>
          </w:p>
        </w:tc>
        <w:tc>
          <w:tcPr>
            <w:tcW w:type="dxa" w:w="1080"/>
          </w:tcPr>
          <w:p>
            <w:r>
              <w:rPr>
                <w:rFonts w:ascii="Calibri" w:hAnsi="Calibri"/>
                <w:sz w:val="22"/>
              </w:rPr>
              <w:t>−0.5%</w:t>
            </w:r>
          </w:p>
        </w:tc>
        <w:tc>
          <w:tcPr>
            <w:tcW w:type="dxa" w:w="1080"/>
          </w:tcPr>
          <w:p>
            <w:r>
              <w:rPr>
                <w:rFonts w:ascii="Calibri" w:hAnsi="Calibri"/>
                <w:sz w:val="22"/>
              </w:rPr>
              <w:t>N/A — HONA standalone FY EPS guidance not issued pre-spinoff</w:t>
            </w:r>
          </w:p>
        </w:tc>
        <w:tc>
          <w:tcPr>
            <w:tcW w:type="dxa" w:w="1080"/>
          </w:tcPr>
          <w:p>
            <w:r>
              <w:rPr>
                <w:rFonts w:ascii="Calibri" w:hAnsi="Calibri"/>
                <w:sz w:val="22"/>
              </w:rPr>
              <w:t>TBD Aug 5</w:t>
            </w:r>
          </w:p>
        </w:tc>
        <w:tc>
          <w:tcPr>
            <w:tcW w:type="dxa" w:w="1080"/>
          </w:tcPr>
          <w:p>
            <w:r>
              <w:rPr>
                <w:rFonts w:ascii="Calibri" w:hAnsi="Calibri"/>
                <w:sz w:val="22"/>
              </w:rPr>
              <w:t>—</w:t>
            </w:r>
          </w:p>
        </w:tc>
        <w:tc>
          <w:tcPr>
            <w:tcW w:type="dxa" w:w="1080"/>
          </w:tcPr>
          <w:p>
            <w:r>
              <w:rPr>
                <w:rFonts w:ascii="Calibri" w:hAnsi="Calibri"/>
                <w:sz w:val="22"/>
              </w:rPr>
              <w:t>N/A — standalone guidance not yet issued</w:t>
            </w:r>
          </w:p>
        </w:tc>
      </w:tr>
      <w:tr>
        <w:tc>
          <w:tcPr>
            <w:tcW w:type="dxa" w:w="1080"/>
          </w:tcPr>
          <w:p>
            <w:r>
              <w:rPr>
                <w:rFonts w:ascii="Calibri" w:hAnsi="Calibri"/>
                <w:sz w:val="22"/>
              </w:rPr>
              <w:t>Commercial Aftermarket — Q2 2026</w:t>
            </w:r>
          </w:p>
        </w:tc>
        <w:tc>
          <w:tcPr>
            <w:tcW w:type="dxa" w:w="1080"/>
          </w:tcPr>
          <w:p>
            <w:r>
              <w:rPr>
                <w:rFonts w:ascii="Calibri" w:hAnsi="Calibri"/>
                <w:sz w:val="22"/>
              </w:rPr>
              <w:t>$2.029B</w:t>
            </w:r>
          </w:p>
        </w:tc>
        <w:tc>
          <w:tcPr>
            <w:tcW w:type="dxa" w:w="1080"/>
          </w:tcPr>
          <w:p>
            <w:r>
              <w:rPr>
                <w:rFonts w:ascii="Calibri" w:hAnsi="Calibri"/>
                <w:sz w:val="22"/>
              </w:rPr>
              <w:t>$2.024B</w:t>
            </w:r>
          </w:p>
        </w:tc>
        <w:tc>
          <w:tcPr>
            <w:tcW w:type="dxa" w:w="1080"/>
          </w:tcPr>
          <w:p>
            <w:r>
              <w:rPr>
                <w:rFonts w:ascii="Calibri" w:hAnsi="Calibri"/>
                <w:sz w:val="22"/>
              </w:rPr>
              <w:t>−0.3%</w:t>
            </w:r>
          </w:p>
        </w:tc>
        <w:tc>
          <w:tcPr>
            <w:tcW w:type="dxa" w:w="1080"/>
          </w:tcPr>
          <w:p>
            <w:r>
              <w:rPr>
                <w:rFonts w:ascii="Calibri" w:hAnsi="Calibri"/>
                <w:sz w:val="22"/>
              </w:rPr>
              <w:t>No standalone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Estimates have been essentially flat since the spinoff date (Jul 4 baseline vs. current Aug 4 consensus shows &lt;1% movement across all KPIs), confirming the Street is in a “wait and see” mode ahead of the first standalone guidance issuance. The most important event on August 5 is not the Q2 beat/miss but the FY2026 standalone guidance range — any upward revision to the implied ~$19B revenue and ~$8.88 adj. EPS consensus would be a meaningful catalyst.</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HONA has </w:t>
      </w:r>
      <w:r>
        <w:rPr>
          <w:rFonts w:ascii="Calibri" w:hAnsi="Calibri"/>
          <w:b/>
          <w:color w:val="525866"/>
          <w:sz w:val="22"/>
        </w:rPr>
        <w:t>underperformed ITA by ~6.5 points since its June 29 spinoff</w:t>
      </w:r>
      <w:r>
        <w:rPr>
          <w:rFonts w:ascii="Calibri" w:hAnsi="Calibri"/>
          <w:color w:val="525866"/>
          <w:sz w:val="22"/>
        </w:rPr>
        <w:t xml:space="preserve"> (HONA −1.7% vs. ITA +4.8% vs. SPY +4.1%), driven by spin-related selling pressure, uncertainty around standalone cost structure, and a sharp sell-off following HON’s Q2 results on July 23 (which showed the Aerospace segment with a ~$40M inventory obsolescence charge). The underperformance is sentiment/technical, not fundamental — peer aerospace names have rallied on strong demand read-throughs.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HONA vs. ITA (iShares U.S. Aerospace &amp; Defense ETF) vs. S&amp;P 500 (SPY) — Indexed to 100 at spinoff date (June 29, 2026). Source: Yahoo Finance / Stock Price Data.</w:t>
      </w:r>
    </w:p>
    <w:p>
      <w:r>
        <w:rPr>
          <w:rFonts w:ascii="Calibri" w:hAnsi="Calibri"/>
          <w:b/>
          <w:color w:val="525866"/>
          <w:sz w:val="22"/>
        </w:rPr>
        <w:t>Key observations:</w:t>
      </w:r>
    </w:p>
    <w:p>
      <w:pPr>
        <w:pStyle w:val="ListBullet"/>
        <w:ind w:left="360" w:hanging="360"/>
      </w:pPr>
      <w:r>
        <w:rPr>
          <w:rFonts w:ascii="Calibri" w:hAnsi="Calibri"/>
          <w:b/>
          <w:color w:val="525866"/>
          <w:sz w:val="22"/>
        </w:rPr>
        <w:t xml:space="preserve">June 29 – July 2: </w:t>
      </w:r>
      <w:r>
        <w:rPr>
          <w:rFonts w:ascii="Calibri" w:hAnsi="Calibri"/>
          <w:color w:val="525866"/>
          <w:sz w:val="22"/>
        </w:rPr>
        <w:t>HONA opened at $220 and rallied to $247 (+12%) in the first three trading days as spinoff enthusiasm drove buying. ITA and SPY were flat over the same period.</w:t>
      </w:r>
    </w:p>
    <w:p>
      <w:pPr>
        <w:pStyle w:val="ListBullet"/>
        <w:ind w:left="360" w:hanging="360"/>
      </w:pPr>
      <w:r>
        <w:rPr>
          <w:rFonts w:ascii="Calibri" w:hAnsi="Calibri"/>
          <w:b/>
          <w:color w:val="525866"/>
          <w:sz w:val="22"/>
        </w:rPr>
        <w:t xml:space="preserve">July 2 (HON Q2 Earnings): </w:t>
      </w:r>
      <w:r>
        <w:rPr>
          <w:rFonts w:ascii="Calibri" w:hAnsi="Calibri"/>
          <w:color w:val="525866"/>
          <w:sz w:val="22"/>
        </w:rPr>
        <w:t>HON reported Q2 results including HONA’s last segment data point — $4.53B revenue (+5% organic), $1.13B segment profit (+2%), with a ~$40M inventory obsolescence charge. HONA sold off sharply from $247 to $224 (−9%) over the following week as the market digested the charge and supply chain commentary.</w:t>
      </w:r>
    </w:p>
    <w:p>
      <w:pPr>
        <w:pStyle w:val="ListBullet"/>
        <w:ind w:left="360" w:hanging="360"/>
      </w:pPr>
      <w:r>
        <w:rPr>
          <w:rFonts w:ascii="Calibri" w:hAnsi="Calibri"/>
          <w:b/>
          <w:color w:val="525866"/>
          <w:sz w:val="22"/>
        </w:rPr>
        <w:t xml:space="preserve">July 16 (GE Aerospace Q2): </w:t>
      </w:r>
      <w:r>
        <w:rPr>
          <w:rFonts w:ascii="Calibri" w:hAnsi="Calibri"/>
          <w:color w:val="525866"/>
          <w:sz w:val="22"/>
        </w:rPr>
        <w:t>GE reported strong results (revenue +24%, EPS +22%) and raised guidance. HONA did not rally in sympathy, suggesting the market was focused on HONA-specific supply chain concerns rather than sector tailwinds.</w:t>
      </w:r>
    </w:p>
    <w:p>
      <w:pPr>
        <w:pStyle w:val="ListBullet"/>
        <w:ind w:left="360" w:hanging="360"/>
      </w:pPr>
      <w:r>
        <w:rPr>
          <w:rFonts w:ascii="Calibri" w:hAnsi="Calibri"/>
          <w:b/>
          <w:color w:val="525866"/>
          <w:sz w:val="22"/>
        </w:rPr>
        <w:t xml:space="preserve">July 23 (RTX / TransDigm Q2): </w:t>
      </w:r>
      <w:r>
        <w:rPr>
          <w:rFonts w:ascii="Calibri" w:hAnsi="Calibri"/>
          <w:color w:val="525866"/>
          <w:sz w:val="22"/>
        </w:rPr>
        <w:t>RTX reported 16% organic growth and raised guidance; TDG beat by 5.2% on EPS. HONA rallied from $196 to $211 (+7.7%) over the following week as the strong peer read-throughs improved sentiment.</w:t>
      </w:r>
    </w:p>
    <w:p>
      <w:pPr>
        <w:pStyle w:val="ListBullet"/>
        <w:ind w:left="360" w:hanging="360"/>
      </w:pPr>
      <w:r>
        <w:rPr>
          <w:rFonts w:ascii="Calibri" w:hAnsi="Calibri"/>
          <w:b/>
          <w:color w:val="525866"/>
          <w:sz w:val="22"/>
        </w:rPr>
        <w:t xml:space="preserve">July 28 (Safran H1): </w:t>
      </w:r>
      <w:r>
        <w:rPr>
          <w:rFonts w:ascii="Calibri" w:hAnsi="Calibri"/>
          <w:color w:val="525866"/>
          <w:sz w:val="22"/>
        </w:rPr>
        <w:t>Safran reported record H1 results with 20% organic revenue growth and raised FY guidance. HONA pulled back from $216 to $205 (−5%) on July 29, likely driven by broader market weakness rather than HONA-specific news.</w:t>
      </w:r>
    </w:p>
    <w:p>
      <w:pPr>
        <w:pStyle w:val="ListBullet"/>
        <w:ind w:left="360" w:hanging="360"/>
      </w:pPr>
      <w:r>
        <w:rPr>
          <w:rFonts w:ascii="Calibri" w:hAnsi="Calibri"/>
          <w:b/>
          <w:color w:val="525866"/>
          <w:sz w:val="22"/>
        </w:rPr>
        <w:t xml:space="preserve">Current (Aug 4): </w:t>
      </w:r>
      <w:r>
        <w:rPr>
          <w:rFonts w:ascii="Calibri" w:hAnsi="Calibri"/>
          <w:color w:val="525866"/>
          <w:sz w:val="22"/>
        </w:rPr>
        <w:t>HONA at $216.48, up from the July 23 low of $196 but still −1.7% from spinoff. The stock is trading at ~24x FY2026 consensus EPS of $8.88, a discount to RTX (~25x) and GE Aerospace (~30x), suggesting room for re-rating if standalone guidance is constructive.</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spinoff is the </w:t>
      </w:r>
      <w:r>
        <w:rPr>
          <w:rFonts w:ascii="Calibri" w:hAnsi="Calibri"/>
          <w:b/>
          <w:color w:val="525866"/>
          <w:sz w:val="22"/>
        </w:rPr>
        <w:t>~$40M inventory obsolescence charge flagged for Q2 on HON’s Q1 call</w:t>
      </w:r>
      <w:r>
        <w:rPr>
          <w:rFonts w:ascii="Calibri" w:hAnsi="Calibri"/>
          <w:color w:val="525866"/>
          <w:sz w:val="22"/>
        </w:rPr>
        <w:t xml:space="preserve"> — this is already in consensus but the magnitude and whether it recurs will be closely watched. The broader news flow is constructive: all major aerospace peers raised guidance for 2026.</w:t>
      </w:r>
    </w:p>
    <w:p>
      <w:pPr>
        <w:pStyle w:val="ListBullet"/>
        <w:ind w:left="360" w:hanging="360"/>
      </w:pPr>
      <w:r>
        <w:rPr>
          <w:rFonts w:ascii="Calibri" w:hAnsi="Calibri"/>
          <w:b/>
          <w:color w:val="525866"/>
          <w:sz w:val="22"/>
        </w:rPr>
        <w:t xml:space="preserve">June 29, 2026 — HONA Begins Trading as Independent Company: </w:t>
      </w:r>
      <w:r>
        <w:rPr>
          <w:rFonts w:ascii="Calibri" w:hAnsi="Calibri"/>
          <w:color w:val="525866"/>
          <w:sz w:val="22"/>
        </w:rPr>
        <w:t xml:space="preserve">Honeywell Aerospace Inc. (HONA) began regular-way trading on Nasdaq following the completion of its spinoff from Honeywell Technologies (HON). Each HON shareholder received one HONA share for every two HON shares held as of the June 15 record date. HON simultaneously executed a 1-for-2 reverse stock split. </w:t>
      </w:r>
      <w:r>
        <w:rPr>
          <w:rFonts w:ascii="Calibri" w:hAnsi="Calibri"/>
          <w:i/>
          <w:color w:val="525866"/>
          <w:sz w:val="22"/>
        </w:rPr>
        <w:t xml:space="preserve">Implication: </w:t>
      </w:r>
      <w:r>
        <w:rPr>
          <w:rFonts w:ascii="Calibri" w:hAnsi="Calibri"/>
          <w:i/>
          <w:color w:val="525866"/>
          <w:sz w:val="22"/>
        </w:rPr>
        <w:t>Spin-related selling pressure from index funds and HON shareholders who don’t want aerospace exposure is a near-term technical headwind; typically resolves within 30–60 days.</w:t>
      </w:r>
    </w:p>
    <w:p>
      <w:pPr>
        <w:pStyle w:val="ListBullet"/>
        <w:ind w:left="360" w:hanging="360"/>
      </w:pPr>
      <w:r>
        <w:rPr>
          <w:rFonts w:ascii="Calibri" w:hAnsi="Calibri"/>
          <w:b/>
          <w:color w:val="525866"/>
          <w:sz w:val="22"/>
        </w:rPr>
        <w:t xml:space="preserve">July 17, 2026 — HONA Announces Q2 Earnings Date: </w:t>
      </w:r>
      <w:r>
        <w:rPr>
          <w:rFonts w:ascii="Calibri" w:hAnsi="Calibri"/>
          <w:color w:val="525866"/>
          <w:sz w:val="22"/>
        </w:rPr>
        <w:t xml:space="preserve">Honeywell Aerospace confirmed it will release Q2 2026 standalone financial results after market close on August 5, 2026, followed by an investor conference call. </w:t>
      </w:r>
      <w:r>
        <w:rPr>
          <w:rFonts w:ascii="Calibri" w:hAnsi="Calibri"/>
          <w:i/>
          <w:color w:val="525866"/>
          <w:sz w:val="22"/>
        </w:rPr>
        <w:t xml:space="preserve">Implication: </w:t>
      </w:r>
      <w:r>
        <w:rPr>
          <w:rFonts w:ascii="Calibri" w:hAnsi="Calibri"/>
          <w:i/>
          <w:color w:val="525866"/>
          <w:sz w:val="22"/>
        </w:rPr>
        <w:t>This is the first standalone earnings event; management will issue its own FY2026 guidance for the first time.</w:t>
      </w:r>
    </w:p>
    <w:p>
      <w:pPr>
        <w:pStyle w:val="ListBullet"/>
        <w:ind w:left="360" w:hanging="360"/>
      </w:pPr>
      <w:r>
        <w:rPr>
          <w:rFonts w:ascii="Calibri" w:hAnsi="Calibri"/>
          <w:b/>
          <w:color w:val="525866"/>
          <w:sz w:val="22"/>
        </w:rPr>
        <w:t xml:space="preserve">July 23, 2026 — HON Q2 Results Include Final HONA Segment Data: </w:t>
      </w:r>
      <w:r>
        <w:rPr>
          <w:rFonts w:ascii="Calibri" w:hAnsi="Calibri"/>
          <w:color w:val="525866"/>
          <w:sz w:val="22"/>
        </w:rPr>
        <w:t xml:space="preserve">Honeywell Technologies reported Q2 results including the Aerospace Technologies segment (now HONA): $4.53B revenue (+5% organic YoY), $1.13B segment profit (+2%), 22.2% segment margin. Notably, results included a </w:t>
      </w:r>
      <w:r>
        <w:rPr>
          <w:rFonts w:ascii="Calibri" w:hAnsi="Calibri"/>
          <w:b/>
          <w:color w:val="525866"/>
          <w:sz w:val="22"/>
        </w:rPr>
        <w:t>~$40M inventory obsolescence charge</w:t>
      </w:r>
      <w:r>
        <w:rPr>
          <w:rFonts w:ascii="Calibri" w:hAnsi="Calibri"/>
          <w:color w:val="525866"/>
          <w:sz w:val="22"/>
        </w:rPr>
        <w:t xml:space="preserve"> related to lower demand for pockets of existing inventory stock driven by emerging repair technologies extending product lives. Commercial aviation OE +17%, commercial aftermarket +7%, defense &amp; space flat. </w:t>
      </w:r>
      <w:r>
        <w:rPr>
          <w:rFonts w:ascii="Calibri" w:hAnsi="Calibri"/>
          <w:i/>
          <w:color w:val="525866"/>
          <w:sz w:val="22"/>
        </w:rPr>
        <w:t xml:space="preserve">Implication: </w:t>
      </w:r>
      <w:r>
        <w:rPr>
          <w:rFonts w:ascii="Calibri" w:hAnsi="Calibri"/>
          <w:i/>
          <w:color w:val="525866"/>
          <w:sz w:val="22"/>
        </w:rPr>
        <w:t>The charge is a one-time headwind but the underlying demand trends (OE +17%, aftermarket +7%) are strong. The Street will want to know if the charge recurs in Q3.</w:t>
      </w:r>
    </w:p>
    <w:p>
      <w:pPr>
        <w:pStyle w:val="ListBullet"/>
        <w:ind w:left="360" w:hanging="360"/>
      </w:pPr>
      <w:r>
        <w:rPr>
          <w:rFonts w:ascii="Calibri" w:hAnsi="Calibri"/>
          <w:b/>
          <w:color w:val="525866"/>
          <w:sz w:val="22"/>
        </w:rPr>
        <w:t xml:space="preserve">July 6, 2026 — HONA Files Form S-4: </w:t>
      </w:r>
      <w:r>
        <w:rPr>
          <w:rFonts w:ascii="Calibri" w:hAnsi="Calibri"/>
          <w:color w:val="525866"/>
          <w:sz w:val="22"/>
        </w:rPr>
        <w:t xml:space="preserve">Honeywell Aerospace filed a Form S-4 registration statement with the SEC, part of the post-spinoff administrative filings. </w:t>
      </w:r>
      <w:r>
        <w:rPr>
          <w:rFonts w:ascii="Calibri" w:hAnsi="Calibri"/>
          <w:i/>
          <w:color w:val="525866"/>
          <w:sz w:val="22"/>
        </w:rPr>
        <w:t xml:space="preserve">Implication: </w:t>
      </w:r>
      <w:r>
        <w:rPr>
          <w:rFonts w:ascii="Calibri" w:hAnsi="Calibri"/>
          <w:i/>
          <w:color w:val="525866"/>
          <w:sz w:val="22"/>
        </w:rPr>
        <w:t>Routine post-spinoff filing; no material financial impact.</w:t>
      </w:r>
    </w:p>
    <w:p>
      <w:pPr>
        <w:pStyle w:val="ListBullet"/>
        <w:ind w:left="360" w:hanging="360"/>
      </w:pPr>
      <w:r>
        <w:rPr>
          <w:rFonts w:ascii="Calibri" w:hAnsi="Calibri"/>
          <w:b/>
          <w:color w:val="525866"/>
          <w:sz w:val="22"/>
        </w:rPr>
        <w:t xml:space="preserve">July 2026 — Analyst Coverage Initiations: </w:t>
      </w:r>
      <w:r>
        <w:rPr>
          <w:rFonts w:ascii="Calibri" w:hAnsi="Calibri"/>
          <w:color w:val="525866"/>
          <w:sz w:val="22"/>
        </w:rPr>
        <w:t xml:space="preserve">Multiple sell-side firms initiated coverage on HONA following the spinoff. BMO Capital initiated with a $276 price target (Outperform), Jefferies initiated at $235, Morgan Stanley initiated at $255, Wells Fargo initiated at $260, and RBC Capital reiterated Outperform with a $300 price target. Average consensus price target of ~$253–$258 implies ~17–19% upside from current levels. </w:t>
      </w:r>
      <w:r>
        <w:rPr>
          <w:rFonts w:ascii="Calibri" w:hAnsi="Calibri"/>
          <w:i/>
          <w:color w:val="525866"/>
          <w:sz w:val="22"/>
        </w:rPr>
        <w:t xml:space="preserve">Implication: </w:t>
      </w:r>
      <w:r>
        <w:rPr>
          <w:rFonts w:ascii="Calibri" w:hAnsi="Calibri"/>
          <w:i/>
          <w:color w:val="525866"/>
          <w:sz w:val="22"/>
        </w:rPr>
        <w:t>Broad analyst coverage is constructive; the Hold-heavy consensus (8 Hold, 2 Buy, 1 Strong Buy out of 11 analysts) suggests the Street is waiting for the first standalone print before upgrading.</w:t>
      </w:r>
    </w:p>
    <w:p>
      <w:pPr>
        <w:pStyle w:val="ListBullet"/>
        <w:ind w:left="360" w:hanging="360"/>
      </w:pPr>
      <w:r>
        <w:rPr>
          <w:rFonts w:ascii="Calibri" w:hAnsi="Calibri"/>
          <w:b/>
          <w:color w:val="525866"/>
          <w:sz w:val="22"/>
        </w:rPr>
        <w:t xml:space="preserve">July 31, 2026 — TransDigm Q2 Results (Peer Read-Through): </w:t>
      </w:r>
      <w:r>
        <w:rPr>
          <w:rFonts w:ascii="Calibri" w:hAnsi="Calibri"/>
          <w:color w:val="525866"/>
          <w:sz w:val="22"/>
        </w:rPr>
        <w:t xml:space="preserve">TDG reported Q2 revenue of $2.74B (+22.5% YoY), adj. EPS of $10.87 (+5.2% beat), and raised FY2026 guidance. Commercial aftermarket +14%, commercial OEM +12%, defense +11%. </w:t>
      </w:r>
      <w:r>
        <w:rPr>
          <w:rFonts w:ascii="Calibri" w:hAnsi="Calibri"/>
          <w:i/>
          <w:color w:val="525866"/>
          <w:sz w:val="22"/>
        </w:rPr>
        <w:t xml:space="preserve">Implication: </w:t>
      </w:r>
      <w:r>
        <w:rPr>
          <w:rFonts w:ascii="Calibri" w:hAnsi="Calibri"/>
          <w:i/>
          <w:color w:val="525866"/>
          <w:sz w:val="22"/>
        </w:rPr>
        <w:t>Strong positive read-through for HONA’s aftermarket and OEM channels.</w:t>
      </w:r>
    </w:p>
    <w:p>
      <w:r>
        <w:br w:type="page"/>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 xml:space="preserve">Every major aerospace peer that reported Q2 2026 results beat estimates and raised full-year guidance, driven by </w:t>
      </w:r>
      <w:r>
        <w:rPr>
          <w:rFonts w:ascii="Calibri" w:hAnsi="Calibri"/>
          <w:b/>
          <w:color w:val="525866"/>
          <w:sz w:val="22"/>
        </w:rPr>
        <w:t>robust commercial aftermarket demand, strong OE ramp, and resilient defense bookings</w:t>
      </w:r>
      <w:r>
        <w:rPr>
          <w:rFonts w:ascii="Calibri" w:hAnsi="Calibri"/>
          <w:color w:val="525866"/>
          <w:sz w:val="22"/>
        </w:rPr>
        <w:t>. The read-through for HONA is broadly positive, with the key caveat being HONA’s specific mechanical supply chain constraints and the ~$40M inventory obsolescence charge flagged for Q2. The peer commentary below covers only Q2 2026 results and forward commentary relevant to HONA’s current reporting quarter.</w:t>
      </w:r>
    </w:p>
    <w:p>
      <w:pPr>
        <w:pStyle w:val="Heading3"/>
      </w:pPr>
      <w:r>
        <w:rPr>
          <w:rFonts w:ascii="Calibri" w:hAnsi="Calibri"/>
          <w:b/>
          <w:color w:val="3B4259"/>
          <w:sz w:val="24"/>
        </w:rPr>
        <w:t>GE Aerospace (GE) — Q2 2026 Results (Reported July 16, 2026)</w:t>
      </w:r>
    </w:p>
    <w:p>
      <w:r>
        <w:rPr>
          <w:rFonts w:ascii="Calibri" w:hAnsi="Calibri"/>
          <w:b/>
          <w:color w:val="525866"/>
          <w:sz w:val="22"/>
        </w:rPr>
        <w:t xml:space="preserve">Read-Through Signal: </w:t>
      </w:r>
      <w:r>
        <w:rPr>
          <w:rFonts w:ascii="Calibri" w:hAnsi="Calibri"/>
          <w:b/>
          <w:color w:val="30A46C"/>
          <w:sz w:val="22"/>
        </w:rPr>
        <w:t>STRONGLY POSITIVE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GE Aerospace Commentary</w:t>
            </w:r>
          </w:p>
        </w:tc>
        <w:tc>
          <w:tcPr>
            <w:tcW w:type="dxa" w:w="2880"/>
            <w:shd w:val="clear" w:color="auto" w:fill="3B4259"/>
          </w:tcPr>
          <w:p>
            <w:r>
              <w:rPr>
                <w:rFonts w:ascii="Calibri" w:hAnsi="Calibri"/>
                <w:b/>
                <w:color w:val="FFFFFF"/>
                <w:sz w:val="22"/>
              </w:rPr>
              <w:t>HONA Read-Through</w:t>
            </w:r>
          </w:p>
        </w:tc>
      </w:tr>
      <w:tr>
        <w:tc>
          <w:tcPr>
            <w:tcW w:type="dxa" w:w="2880"/>
          </w:tcPr>
          <w:p>
            <w:r>
              <w:rPr>
                <w:rFonts w:ascii="Calibri" w:hAnsi="Calibri"/>
                <w:sz w:val="22"/>
              </w:rPr>
              <w:t>Revenue Growth</w:t>
            </w:r>
          </w:p>
        </w:tc>
        <w:tc>
          <w:tcPr>
            <w:tcW w:type="dxa" w:w="2880"/>
          </w:tcPr>
          <w:p>
            <w:r>
              <w:rPr>
                <w:rFonts w:ascii="Calibri" w:hAnsi="Calibri"/>
                <w:sz w:val="22"/>
              </w:rPr>
              <w:t>Adjusted revenue +24% YoY to $12.6B; fifth consecutive quarter of at least 20% growth. CES (Commercial Engines &amp; Services) up 27%, DPT (Defense &amp; Propulsion Technologies) up 16%.</w:t>
            </w:r>
          </w:p>
        </w:tc>
        <w:tc>
          <w:tcPr>
            <w:tcW w:type="dxa" w:w="2880"/>
          </w:tcPr>
          <w:p>
            <w:r>
              <w:rPr>
                <w:rFonts w:ascii="Calibri" w:hAnsi="Calibri"/>
                <w:sz w:val="22"/>
              </w:rPr>
              <w:t>Positive: Broad-based aerospace demand growth supports HONA’s commercial and defense channels.</w:t>
            </w:r>
          </w:p>
        </w:tc>
      </w:tr>
      <w:tr>
        <w:tc>
          <w:tcPr>
            <w:tcW w:type="dxa" w:w="2880"/>
          </w:tcPr>
          <w:p>
            <w:r>
              <w:rPr>
                <w:rFonts w:ascii="Calibri" w:hAnsi="Calibri"/>
                <w:sz w:val="22"/>
              </w:rPr>
              <w:t>Commercial Aftermarket</w:t>
            </w:r>
          </w:p>
        </w:tc>
        <w:tc>
          <w:tcPr>
            <w:tcW w:type="dxa" w:w="2880"/>
          </w:tcPr>
          <w:p>
            <w:r>
              <w:rPr>
                <w:rFonts w:ascii="Calibri" w:hAnsi="Calibri"/>
                <w:sz w:val="22"/>
              </w:rPr>
              <w:t>“First-half commercial services revenue increased 32%… record internal shop visit output in Q2.” Spare parts delinquencies grew 20% sequentially due to material availability constraints. Commercial services backlog ~$170B, up ~$30B since end of 2024.</w:t>
            </w:r>
          </w:p>
        </w:tc>
        <w:tc>
          <w:tcPr>
            <w:tcW w:type="dxa" w:w="2880"/>
          </w:tcPr>
          <w:p>
            <w:r>
              <w:rPr>
                <w:rFonts w:ascii="Calibri" w:hAnsi="Calibri"/>
                <w:sz w:val="22"/>
              </w:rPr>
              <w:t>Positive: Strong aftermarket demand directly supports HONA’s commercial aftermarket segment (~$2.0B consensus for Q2). Supply chain constraints noted by GE are consistent with HONA’s own commentary.</w:t>
            </w:r>
          </w:p>
        </w:tc>
      </w:tr>
      <w:tr>
        <w:tc>
          <w:tcPr>
            <w:tcW w:type="dxa" w:w="2880"/>
          </w:tcPr>
          <w:p>
            <w:r>
              <w:rPr>
                <w:rFonts w:ascii="Calibri" w:hAnsi="Calibri"/>
                <w:sz w:val="22"/>
              </w:rPr>
              <w:t>OE Ramp</w:t>
            </w:r>
          </w:p>
        </w:tc>
        <w:tc>
          <w:tcPr>
            <w:tcW w:type="dxa" w:w="2880"/>
          </w:tcPr>
          <w:p>
            <w:r>
              <w:rPr>
                <w:rFonts w:ascii="Calibri" w:hAnsi="Calibri"/>
                <w:sz w:val="22"/>
              </w:rPr>
              <w:t>“First-half total engine deliveries up 31%, including LEAP engines up 41%.” Expects commercial equipment to grow ~20% for FY2026, up from mid-to-high teens.</w:t>
            </w:r>
          </w:p>
        </w:tc>
        <w:tc>
          <w:tcPr>
            <w:tcW w:type="dxa" w:w="2880"/>
          </w:tcPr>
          <w:p>
            <w:r>
              <w:rPr>
                <w:rFonts w:ascii="Calibri" w:hAnsi="Calibri"/>
                <w:sz w:val="22"/>
              </w:rPr>
              <w:t>Positive: Higher engine deliveries drive demand for HONA’s avionics, APUs, and control systems on new aircraft.</w:t>
            </w:r>
          </w:p>
        </w:tc>
      </w:tr>
      <w:tr>
        <w:tc>
          <w:tcPr>
            <w:tcW w:type="dxa" w:w="2880"/>
          </w:tcPr>
          <w:p>
            <w:r>
              <w:rPr>
                <w:rFonts w:ascii="Calibri" w:hAnsi="Calibri"/>
                <w:sz w:val="22"/>
              </w:rPr>
              <w:t>Supply Chain</w:t>
            </w:r>
          </w:p>
        </w:tc>
        <w:tc>
          <w:tcPr>
            <w:tcW w:type="dxa" w:w="2880"/>
          </w:tcPr>
          <w:p>
            <w:r>
              <w:rPr>
                <w:rFonts w:ascii="Calibri" w:hAnsi="Calibri"/>
                <w:sz w:val="22"/>
              </w:rPr>
              <w:t>“Spare parts delinquencies grew 20% sequentially in Q2” due to material availability. LEAP turnaround times reduced to ~100 days (2+ weeks faster than prior year).</w:t>
            </w:r>
          </w:p>
        </w:tc>
        <w:tc>
          <w:tcPr>
            <w:tcW w:type="dxa" w:w="2880"/>
          </w:tcPr>
          <w:p>
            <w:r>
              <w:rPr>
                <w:rFonts w:ascii="Calibri" w:hAnsi="Calibri"/>
                <w:sz w:val="22"/>
              </w:rPr>
              <w:t>Mixed: Supply chain constraints persist industry-wide, consistent with HONA’s mechanical supply chain headwinds. Improvement in turnaround times is a positive signal.</w:t>
            </w:r>
          </w:p>
        </w:tc>
      </w:tr>
      <w:tr>
        <w:tc>
          <w:tcPr>
            <w:tcW w:type="dxa" w:w="2880"/>
          </w:tcPr>
          <w:p>
            <w:r>
              <w:rPr>
                <w:rFonts w:ascii="Calibri" w:hAnsi="Calibri"/>
                <w:sz w:val="22"/>
              </w:rPr>
              <w:t>Guidance</w:t>
            </w:r>
          </w:p>
        </w:tc>
        <w:tc>
          <w:tcPr>
            <w:tcW w:type="dxa" w:w="2880"/>
          </w:tcPr>
          <w:p>
            <w:r>
              <w:rPr>
                <w:rFonts w:ascii="Calibri" w:hAnsi="Calibri"/>
                <w:sz w:val="22"/>
              </w:rPr>
              <w:t>Raised FY2026 operating profit guidance to $10.55B–$10.75B (from $9.85B–$10.25B). CES operating profit raised to $10.25B–$10.35B.</w:t>
            </w:r>
          </w:p>
        </w:tc>
        <w:tc>
          <w:tcPr>
            <w:tcW w:type="dxa" w:w="2880"/>
          </w:tcPr>
          <w:p>
            <w:r>
              <w:rPr>
                <w:rFonts w:ascii="Calibri" w:hAnsi="Calibri"/>
                <w:sz w:val="22"/>
              </w:rPr>
              <w:t>Positive: Guidance raise signals confidence in H2 demand; supports HONA’s own FY2026 guidance issuance on Aug 5.</w:t>
            </w:r>
          </w:p>
        </w:tc>
      </w:tr>
      <w:tr>
        <w:tc>
          <w:tcPr>
            <w:tcW w:type="dxa" w:w="2880"/>
          </w:tcPr>
          <w:p>
            <w:r>
              <w:rPr>
                <w:rFonts w:ascii="Calibri" w:hAnsi="Calibri"/>
                <w:sz w:val="22"/>
              </w:rPr>
              <w:t>Middle East / Geopolitical</w:t>
            </w:r>
          </w:p>
        </w:tc>
        <w:tc>
          <w:tcPr>
            <w:tcW w:type="dxa" w:w="2880"/>
          </w:tcPr>
          <w:p>
            <w:r>
              <w:rPr>
                <w:rFonts w:ascii="Calibri" w:hAnsi="Calibri"/>
                <w:sz w:val="22"/>
              </w:rPr>
              <w:t>“While the environment remains dynamic, aftermarket demand has been resilient. First-half departures were roughly flat, but we have not observed any changes in customer behavior.” Expects gradual return to modest departures growth in H2.</w:t>
            </w:r>
          </w:p>
        </w:tc>
        <w:tc>
          <w:tcPr>
            <w:tcW w:type="dxa" w:w="2880"/>
          </w:tcPr>
          <w:p>
            <w:r>
              <w:rPr>
                <w:rFonts w:ascii="Calibri" w:hAnsi="Calibri"/>
                <w:sz w:val="22"/>
              </w:rPr>
              <w:t>Positive: Resilient demand despite geopolitical uncertainty reduces downside risk for HONA’s commercial aftermarket.</w:t>
            </w:r>
          </w:p>
        </w:tc>
      </w:tr>
    </w:tbl>
    <w:p>
      <w:pPr>
        <w:pStyle w:val="Heading3"/>
      </w:pPr>
      <w:r>
        <w:rPr>
          <w:rFonts w:ascii="Calibri" w:hAnsi="Calibri"/>
          <w:b/>
          <w:color w:val="3B4259"/>
          <w:sz w:val="24"/>
        </w:rPr>
        <w:t>RTX Corporation (RTX) — Q2 2026 Results (Reported July 23, 2026)</w:t>
      </w:r>
    </w:p>
    <w:p>
      <w:r>
        <w:rPr>
          <w:rFonts w:ascii="Calibri" w:hAnsi="Calibri"/>
          <w:b/>
          <w:color w:val="525866"/>
          <w:sz w:val="22"/>
        </w:rPr>
        <w:t xml:space="preserve">Read-Through Signal: </w:t>
      </w:r>
      <w:r>
        <w:rPr>
          <w:rFonts w:ascii="Calibri" w:hAnsi="Calibri"/>
          <w:b/>
          <w:color w:val="30A46C"/>
          <w:sz w:val="22"/>
        </w:rPr>
        <w:t>STRONGLY POSITIVE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RTX Commentary</w:t>
            </w:r>
          </w:p>
        </w:tc>
        <w:tc>
          <w:tcPr>
            <w:tcW w:type="dxa" w:w="2880"/>
            <w:shd w:val="clear" w:color="auto" w:fill="3B4259"/>
          </w:tcPr>
          <w:p>
            <w:r>
              <w:rPr>
                <w:rFonts w:ascii="Calibri" w:hAnsi="Calibri"/>
                <w:b/>
                <w:color w:val="FFFFFF"/>
                <w:sz w:val="22"/>
              </w:rPr>
              <w:t>HONA Read-Through</w:t>
            </w:r>
          </w:p>
        </w:tc>
      </w:tr>
      <w:tr>
        <w:tc>
          <w:tcPr>
            <w:tcW w:type="dxa" w:w="2880"/>
          </w:tcPr>
          <w:p>
            <w:r>
              <w:rPr>
                <w:rFonts w:ascii="Calibri" w:hAnsi="Calibri"/>
                <w:sz w:val="22"/>
              </w:rPr>
              <w:t>Revenue Growth</w:t>
            </w:r>
          </w:p>
        </w:tc>
        <w:tc>
          <w:tcPr>
            <w:tcW w:type="dxa" w:w="2880"/>
          </w:tcPr>
          <w:p>
            <w:r>
              <w:rPr>
                <w:rFonts w:ascii="Calibri" w:hAnsi="Calibri"/>
                <w:sz w:val="22"/>
              </w:rPr>
              <w:t>Sales of $24.7B, up 14% reported and 16% organically. Adj. EPS $1.89, up 21% YoY. Beat estimates of $1.66 EPS and $22.88B revenue.</w:t>
            </w:r>
          </w:p>
        </w:tc>
        <w:tc>
          <w:tcPr>
            <w:tcW w:type="dxa" w:w="2880"/>
          </w:tcPr>
          <w:p>
            <w:r>
              <w:rPr>
                <w:rFonts w:ascii="Calibri" w:hAnsi="Calibri"/>
                <w:sz w:val="22"/>
              </w:rPr>
              <w:t>Positive: Broad-based aerospace demand growth well above consensus; supports HONA’s ~7% organic growth target.</w:t>
            </w:r>
          </w:p>
        </w:tc>
      </w:tr>
      <w:tr>
        <w:tc>
          <w:tcPr>
            <w:tcW w:type="dxa" w:w="2880"/>
          </w:tcPr>
          <w:p>
            <w:r>
              <w:rPr>
                <w:rFonts w:ascii="Calibri" w:hAnsi="Calibri"/>
                <w:sz w:val="22"/>
              </w:rPr>
              <w:t>Collins Aerospace (most direct HONA peer)</w:t>
            </w:r>
          </w:p>
        </w:tc>
        <w:tc>
          <w:tcPr>
            <w:tcW w:type="dxa" w:w="2880"/>
          </w:tcPr>
          <w:p>
            <w:r>
              <w:rPr>
                <w:rFonts w:ascii="Calibri" w:hAnsi="Calibri"/>
                <w:sz w:val="22"/>
              </w:rPr>
              <w:t>Collins Aerospace sales $8.2B, up 13% organically. Commercial OE +26%, commercial aftermarket +10%, defense +7%. “Airframers also continue to cite strong demand with further rate growth expected in the second half of the year.”</w:t>
            </w:r>
          </w:p>
        </w:tc>
        <w:tc>
          <w:tcPr>
            <w:tcW w:type="dxa" w:w="2880"/>
          </w:tcPr>
          <w:p>
            <w:r>
              <w:rPr>
                <w:rFonts w:ascii="Calibri" w:hAnsi="Calibri"/>
                <w:sz w:val="22"/>
              </w:rPr>
              <w:t>Strongly Positive: Collins is HONA’s closest direct peer (avionics, flight controls, power systems). Collins’ +26% commercial OE and +10% aftermarket directly validates HONA’s consensus estimates.</w:t>
            </w:r>
          </w:p>
        </w:tc>
      </w:tr>
      <w:tr>
        <w:tc>
          <w:tcPr>
            <w:tcW w:type="dxa" w:w="2880"/>
          </w:tcPr>
          <w:p>
            <w:r>
              <w:rPr>
                <w:rFonts w:ascii="Calibri" w:hAnsi="Calibri"/>
                <w:sz w:val="22"/>
              </w:rPr>
              <w:t>Pratt &amp; Whitney</w:t>
            </w:r>
          </w:p>
        </w:tc>
        <w:tc>
          <w:tcPr>
            <w:tcW w:type="dxa" w:w="2880"/>
          </w:tcPr>
          <w:p>
            <w:r>
              <w:rPr>
                <w:rFonts w:ascii="Calibri" w:hAnsi="Calibri"/>
                <w:sz w:val="22"/>
              </w:rPr>
              <w:t>P&amp;W sales $8.9B, up 17% organically. Commercial aftermarket +25%, military engine volume +23%.</w:t>
            </w:r>
          </w:p>
        </w:tc>
        <w:tc>
          <w:tcPr>
            <w:tcW w:type="dxa" w:w="2880"/>
          </w:tcPr>
          <w:p>
            <w:r>
              <w:rPr>
                <w:rFonts w:ascii="Calibri" w:hAnsi="Calibri"/>
                <w:sz w:val="22"/>
              </w:rPr>
              <w:t>Positive: Strong engine aftermarket demand supports HONA’s APU and engine-related aftermarket revenue.</w:t>
            </w:r>
          </w:p>
        </w:tc>
      </w:tr>
      <w:tr>
        <w:tc>
          <w:tcPr>
            <w:tcW w:type="dxa" w:w="2880"/>
          </w:tcPr>
          <w:p>
            <w:r>
              <w:rPr>
                <w:rFonts w:ascii="Calibri" w:hAnsi="Calibri"/>
                <w:sz w:val="22"/>
              </w:rPr>
              <w:t>Backlog &amp; Demand</w:t>
            </w:r>
          </w:p>
        </w:tc>
        <w:tc>
          <w:tcPr>
            <w:tcW w:type="dxa" w:w="2880"/>
          </w:tcPr>
          <w:p>
            <w:r>
              <w:rPr>
                <w:rFonts w:ascii="Calibri" w:hAnsi="Calibri"/>
                <w:sz w:val="22"/>
              </w:rPr>
              <w:t>“Our backlog stands at yet another record of $289 billion, up 22% year-over-year and 6% sequentially.” Commercial aftermarket growth 18% companywide. “Demand remains robust.”</w:t>
            </w:r>
          </w:p>
        </w:tc>
        <w:tc>
          <w:tcPr>
            <w:tcW w:type="dxa" w:w="2880"/>
          </w:tcPr>
          <w:p>
            <w:r>
              <w:rPr>
                <w:rFonts w:ascii="Calibri" w:hAnsi="Calibri"/>
                <w:sz w:val="22"/>
              </w:rPr>
              <w:t>Positive: Record backlog and strong demand visibility supports HONA’s own backlog (~$38B as of Q1 2026) and H2 growth outlook.</w:t>
            </w:r>
          </w:p>
        </w:tc>
      </w:tr>
      <w:tr>
        <w:tc>
          <w:tcPr>
            <w:tcW w:type="dxa" w:w="2880"/>
          </w:tcPr>
          <w:p>
            <w:r>
              <w:rPr>
                <w:rFonts w:ascii="Calibri" w:hAnsi="Calibri"/>
                <w:sz w:val="22"/>
              </w:rPr>
              <w:t>Defense</w:t>
            </w:r>
          </w:p>
        </w:tc>
        <w:tc>
          <w:tcPr>
            <w:tcW w:type="dxa" w:w="2880"/>
          </w:tcPr>
          <w:p>
            <w:r>
              <w:rPr>
                <w:rFonts w:ascii="Calibri" w:hAnsi="Calibri"/>
                <w:sz w:val="22"/>
              </w:rPr>
              <w:t>Raytheon bookings $19.9B, book-to-bill 2.42x. International defense demand: $10B in H1 awards, 2x YoY. 48% of Raytheon backlog now international.</w:t>
            </w:r>
          </w:p>
        </w:tc>
        <w:tc>
          <w:tcPr>
            <w:tcW w:type="dxa" w:w="2880"/>
          </w:tcPr>
          <w:p>
            <w:r>
              <w:rPr>
                <w:rFonts w:ascii="Calibri" w:hAnsi="Calibri"/>
                <w:sz w:val="22"/>
              </w:rPr>
              <w:t>Positive: Strong defense demand supports HONA’s defense &amp; space segment (~$1.88B consensus for Q2).</w:t>
            </w:r>
          </w:p>
        </w:tc>
      </w:tr>
      <w:tr>
        <w:tc>
          <w:tcPr>
            <w:tcW w:type="dxa" w:w="2880"/>
          </w:tcPr>
          <w:p>
            <w:r>
              <w:rPr>
                <w:rFonts w:ascii="Calibri" w:hAnsi="Calibri"/>
                <w:sz w:val="22"/>
              </w:rPr>
              <w:t>Guidance</w:t>
            </w:r>
          </w:p>
        </w:tc>
        <w:tc>
          <w:tcPr>
            <w:tcW w:type="dxa" w:w="2880"/>
          </w:tcPr>
          <w:p>
            <w:r>
              <w:rPr>
                <w:rFonts w:ascii="Calibri" w:hAnsi="Calibri"/>
                <w:sz w:val="22"/>
              </w:rPr>
              <w:t>Raised FY2026 adj. sales to $95B–$96B (from $92.5B–$93.5B), organic growth 8%–9% (from 5%–6%), adj. EPS $7.10–$7.25 (from $6.70–$6.90), FCF $8.50B–$8.75B.</w:t>
            </w:r>
          </w:p>
        </w:tc>
        <w:tc>
          <w:tcPr>
            <w:tcW w:type="dxa" w:w="2880"/>
          </w:tcPr>
          <w:p>
            <w:r>
              <w:rPr>
                <w:rFonts w:ascii="Calibri" w:hAnsi="Calibri"/>
                <w:sz w:val="22"/>
              </w:rPr>
              <w:t>Positive: Broad guidance raise across all metrics signals strong H2 visibility; constructive for HONA’s own FY2026 guidance issuance.</w:t>
            </w:r>
          </w:p>
        </w:tc>
      </w:tr>
    </w:tbl>
    <w:p>
      <w:pPr>
        <w:pStyle w:val="Heading3"/>
      </w:pPr>
      <w:r>
        <w:rPr>
          <w:rFonts w:ascii="Calibri" w:hAnsi="Calibri"/>
          <w:b/>
          <w:color w:val="3B4259"/>
          <w:sz w:val="24"/>
        </w:rPr>
        <w:t>TransDigm Group (TDG) — Q2 FY2026 Results (Reported July 31, 2026)</w:t>
      </w:r>
    </w:p>
    <w:p>
      <w:r>
        <w:rPr>
          <w:rFonts w:ascii="Calibri" w:hAnsi="Calibri"/>
          <w:b/>
          <w:color w:val="525866"/>
          <w:sz w:val="22"/>
        </w:rPr>
        <w:t xml:space="preserve">Read-Through Signal: </w:t>
      </w:r>
      <w:r>
        <w:rPr>
          <w:rFonts w:ascii="Calibri" w:hAnsi="Calibri"/>
          <w:b/>
          <w:color w:val="30A46C"/>
          <w:sz w:val="22"/>
        </w:rPr>
        <w:t>POSITIVE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TransDigm Commentary</w:t>
            </w:r>
          </w:p>
        </w:tc>
        <w:tc>
          <w:tcPr>
            <w:tcW w:type="dxa" w:w="2880"/>
            <w:shd w:val="clear" w:color="auto" w:fill="3B4259"/>
          </w:tcPr>
          <w:p>
            <w:r>
              <w:rPr>
                <w:rFonts w:ascii="Calibri" w:hAnsi="Calibri"/>
                <w:b/>
                <w:color w:val="FFFFFF"/>
                <w:sz w:val="22"/>
              </w:rPr>
              <w:t>HONA Read-Through</w:t>
            </w:r>
          </w:p>
        </w:tc>
      </w:tr>
      <w:tr>
        <w:tc>
          <w:tcPr>
            <w:tcW w:type="dxa" w:w="2880"/>
          </w:tcPr>
          <w:p>
            <w:r>
              <w:rPr>
                <w:rFonts w:ascii="Calibri" w:hAnsi="Calibri"/>
                <w:sz w:val="22"/>
              </w:rPr>
              <w:t>Revenue &amp; Beat</w:t>
            </w:r>
          </w:p>
        </w:tc>
        <w:tc>
          <w:tcPr>
            <w:tcW w:type="dxa" w:w="2880"/>
          </w:tcPr>
          <w:p>
            <w:r>
              <w:rPr>
                <w:rFonts w:ascii="Calibri" w:hAnsi="Calibri"/>
                <w:sz w:val="22"/>
              </w:rPr>
              <w:t>Q2 revenue $2.74B (+22.5% YoY), beating estimates by 2.5%. Adj. EPS $10.87, beating by 5.2%. Organic growth ~11%.</w:t>
            </w:r>
          </w:p>
        </w:tc>
        <w:tc>
          <w:tcPr>
            <w:tcW w:type="dxa" w:w="2880"/>
          </w:tcPr>
          <w:p>
            <w:r>
              <w:rPr>
                <w:rFonts w:ascii="Calibri" w:hAnsi="Calibri"/>
                <w:sz w:val="22"/>
              </w:rPr>
              <w:t>Positive: Broad-based beat across all channels; validates strong aerospace demand environment heading into HONA’s print.</w:t>
            </w:r>
          </w:p>
        </w:tc>
      </w:tr>
      <w:tr>
        <w:tc>
          <w:tcPr>
            <w:tcW w:type="dxa" w:w="2880"/>
          </w:tcPr>
          <w:p>
            <w:r>
              <w:rPr>
                <w:rFonts w:ascii="Calibri" w:hAnsi="Calibri"/>
                <w:sz w:val="22"/>
              </w:rPr>
              <w:t>Commercial Aftermarket</w:t>
            </w:r>
          </w:p>
        </w:tc>
        <w:tc>
          <w:tcPr>
            <w:tcW w:type="dxa" w:w="2880"/>
          </w:tcPr>
          <w:p>
            <w:r>
              <w:rPr>
                <w:rFonts w:ascii="Calibri" w:hAnsi="Calibri"/>
                <w:sz w:val="22"/>
              </w:rPr>
              <w:t>“Total commercial aftermarket revenue increased by approximately 14% compared with the prior-year period. All sub-markets within commercial aftermarket experienced positive growth.” Commercial transport aftermarket +16%. Q2 bookings “solidly outpacing sales.”</w:t>
            </w:r>
          </w:p>
        </w:tc>
        <w:tc>
          <w:tcPr>
            <w:tcW w:type="dxa" w:w="2880"/>
          </w:tcPr>
          <w:p>
            <w:r>
              <w:rPr>
                <w:rFonts w:ascii="Calibri" w:hAnsi="Calibri"/>
                <w:sz w:val="22"/>
              </w:rPr>
              <w:t>Positive: Aftermarket bookings outpacing shipments signals continued demand strength into Q3; supports HONA’s ~$2.0B aftermarket consensus.</w:t>
            </w:r>
          </w:p>
        </w:tc>
      </w:tr>
      <w:tr>
        <w:tc>
          <w:tcPr>
            <w:tcW w:type="dxa" w:w="2880"/>
          </w:tcPr>
          <w:p>
            <w:r>
              <w:rPr>
                <w:rFonts w:ascii="Calibri" w:hAnsi="Calibri"/>
                <w:sz w:val="22"/>
              </w:rPr>
              <w:t>Commercial OEM</w:t>
            </w:r>
          </w:p>
        </w:tc>
        <w:tc>
          <w:tcPr>
            <w:tcW w:type="dxa" w:w="2880"/>
          </w:tcPr>
          <w:p>
            <w:r>
              <w:rPr>
                <w:rFonts w:ascii="Calibri" w:hAnsi="Calibri"/>
                <w:sz w:val="22"/>
              </w:rPr>
              <w:t>Commercial OEM +12% YoY; commercial transport OEM (ex-biz jet) +19%. “We continue supporting higher build rates.”</w:t>
            </w:r>
          </w:p>
        </w:tc>
        <w:tc>
          <w:tcPr>
            <w:tcW w:type="dxa" w:w="2880"/>
          </w:tcPr>
          <w:p>
            <w:r>
              <w:rPr>
                <w:rFonts w:ascii="Calibri" w:hAnsi="Calibri"/>
                <w:sz w:val="22"/>
              </w:rPr>
              <w:t>Positive: Higher build rates directly support HONA’s commercial OE segment (~$0.70B consensus for Q2).</w:t>
            </w:r>
          </w:p>
        </w:tc>
      </w:tr>
      <w:tr>
        <w:tc>
          <w:tcPr>
            <w:tcW w:type="dxa" w:w="2880"/>
          </w:tcPr>
          <w:p>
            <w:r>
              <w:rPr>
                <w:rFonts w:ascii="Calibri" w:hAnsi="Calibri"/>
                <w:sz w:val="22"/>
              </w:rPr>
              <w:t>Defense</w:t>
            </w:r>
          </w:p>
        </w:tc>
        <w:tc>
          <w:tcPr>
            <w:tcW w:type="dxa" w:w="2880"/>
          </w:tcPr>
          <w:p>
            <w:r>
              <w:rPr>
                <w:rFonts w:ascii="Calibri" w:hAnsi="Calibri"/>
                <w:sz w:val="22"/>
              </w:rPr>
              <w:t>Defense revenue +11% YoY (both OEM and aftermarket). “Defense demand has been a key support for sales.”</w:t>
            </w:r>
          </w:p>
        </w:tc>
        <w:tc>
          <w:tcPr>
            <w:tcW w:type="dxa" w:w="2880"/>
          </w:tcPr>
          <w:p>
            <w:r>
              <w:rPr>
                <w:rFonts w:ascii="Calibri" w:hAnsi="Calibri"/>
                <w:sz w:val="22"/>
              </w:rPr>
              <w:t>Positive: Defense demand remains robust; supports HONA’s defense &amp; space segment.</w:t>
            </w:r>
          </w:p>
        </w:tc>
      </w:tr>
      <w:tr>
        <w:tc>
          <w:tcPr>
            <w:tcW w:type="dxa" w:w="2880"/>
          </w:tcPr>
          <w:p>
            <w:r>
              <w:rPr>
                <w:rFonts w:ascii="Calibri" w:hAnsi="Calibri"/>
                <w:sz w:val="22"/>
              </w:rPr>
              <w:t>Middle East Impact</w:t>
            </w:r>
          </w:p>
        </w:tc>
        <w:tc>
          <w:tcPr>
            <w:tcW w:type="dxa" w:w="2880"/>
          </w:tcPr>
          <w:p>
            <w:r>
              <w:rPr>
                <w:rFonts w:ascii="Calibri" w:hAnsi="Calibri"/>
                <w:sz w:val="22"/>
              </w:rPr>
              <w:t>“In March and April, activity took a step back as a result of the conflict in the Middle East, with global RPM growth slowing to 2.1% for the month of March and takeoffs and landing cycles dipping into slightly negative territory.” Through February, takeoffs +4% YoY.</w:t>
            </w:r>
          </w:p>
        </w:tc>
        <w:tc>
          <w:tcPr>
            <w:tcW w:type="dxa" w:w="2880"/>
          </w:tcPr>
          <w:p>
            <w:r>
              <w:rPr>
                <w:rFonts w:ascii="Calibri" w:hAnsi="Calibri"/>
                <w:sz w:val="22"/>
              </w:rPr>
              <w:t>Mixed: Middle East conflict caused a temporary Q2 slowdown in commercial traffic, but TDG’s results show demand recovered. Consistent with HON Q1 call commentary (~1% Q2 revenue impact from Middle East).</w:t>
            </w:r>
          </w:p>
        </w:tc>
      </w:tr>
      <w:tr>
        <w:tc>
          <w:tcPr>
            <w:tcW w:type="dxa" w:w="2880"/>
          </w:tcPr>
          <w:p>
            <w:r>
              <w:rPr>
                <w:rFonts w:ascii="Calibri" w:hAnsi="Calibri"/>
                <w:sz w:val="22"/>
              </w:rPr>
              <w:t>Guidance</w:t>
            </w:r>
          </w:p>
        </w:tc>
        <w:tc>
          <w:tcPr>
            <w:tcW w:type="dxa" w:w="2880"/>
          </w:tcPr>
          <w:p>
            <w:r>
              <w:rPr>
                <w:rFonts w:ascii="Calibri" w:hAnsi="Calibri"/>
                <w:sz w:val="22"/>
              </w:rPr>
              <w:t>Raised FY2026 revenue guidance to $10.51B midpoint (from $10.36B), adj. EPS to $41.04 midpoint (from $39.52), EBITDA to $5.52B midpoint. FCF guidance raised to ~$2.5B.</w:t>
            </w:r>
          </w:p>
        </w:tc>
        <w:tc>
          <w:tcPr>
            <w:tcW w:type="dxa" w:w="2880"/>
          </w:tcPr>
          <w:p>
            <w:r>
              <w:rPr>
                <w:rFonts w:ascii="Calibri" w:hAnsi="Calibri"/>
                <w:sz w:val="22"/>
              </w:rPr>
              <w:t>Positive: Guidance raise across all metrics; commercial aftermarket expected to grow high single-digit to low double-digit for FY2026.</w:t>
            </w:r>
          </w:p>
        </w:tc>
      </w:tr>
    </w:tbl>
    <w:p>
      <w:pPr>
        <w:pStyle w:val="Heading3"/>
      </w:pPr>
      <w:r>
        <w:rPr>
          <w:rFonts w:ascii="Calibri" w:hAnsi="Calibri"/>
          <w:b/>
          <w:color w:val="3B4259"/>
          <w:sz w:val="24"/>
        </w:rPr>
        <w:t>Safran SA (SAF) — H1 2026 Results (Reported July 28, 2026)</w:t>
      </w:r>
    </w:p>
    <w:p>
      <w:r>
        <w:rPr>
          <w:rFonts w:ascii="Calibri" w:hAnsi="Calibri"/>
          <w:b/>
          <w:color w:val="525866"/>
          <w:sz w:val="22"/>
        </w:rPr>
        <w:t xml:space="preserve">Read-Through Signal: </w:t>
      </w:r>
      <w:r>
        <w:rPr>
          <w:rFonts w:ascii="Calibri" w:hAnsi="Calibri"/>
          <w:b/>
          <w:color w:val="30A46C"/>
          <w:sz w:val="22"/>
        </w:rPr>
        <w:t>POSITIVE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Safran Commentary</w:t>
            </w:r>
          </w:p>
        </w:tc>
        <w:tc>
          <w:tcPr>
            <w:tcW w:type="dxa" w:w="2880"/>
            <w:shd w:val="clear" w:color="auto" w:fill="3B4259"/>
          </w:tcPr>
          <w:p>
            <w:r>
              <w:rPr>
                <w:rFonts w:ascii="Calibri" w:hAnsi="Calibri"/>
                <w:b/>
                <w:color w:val="FFFFFF"/>
                <w:sz w:val="22"/>
              </w:rPr>
              <w:t>HONA Read-Through</w:t>
            </w:r>
          </w:p>
        </w:tc>
      </w:tr>
      <w:tr>
        <w:tc>
          <w:tcPr>
            <w:tcW w:type="dxa" w:w="2880"/>
          </w:tcPr>
          <w:p>
            <w:r>
              <w:rPr>
                <w:rFonts w:ascii="Calibri" w:hAnsi="Calibri"/>
                <w:sz w:val="22"/>
              </w:rPr>
              <w:t>Revenue Growth</w:t>
            </w:r>
          </w:p>
        </w:tc>
        <w:tc>
          <w:tcPr>
            <w:tcW w:type="dxa" w:w="2880"/>
          </w:tcPr>
          <w:p>
            <w:r>
              <w:rPr>
                <w:rFonts w:ascii="Calibri" w:hAnsi="Calibri"/>
                <w:sz w:val="22"/>
              </w:rPr>
              <w:t>H1 2026 revenue €17.6B, +20.2% organically and +19% reported YoY. Record H1 performance. Propulsion up 27.7%, Equipment &amp; Defense up 14.0%.</w:t>
            </w:r>
          </w:p>
        </w:tc>
        <w:tc>
          <w:tcPr>
            <w:tcW w:type="dxa" w:w="2880"/>
          </w:tcPr>
          <w:p>
            <w:r>
              <w:rPr>
                <w:rFonts w:ascii="Calibri" w:hAnsi="Calibri"/>
                <w:sz w:val="22"/>
              </w:rPr>
              <w:t>Positive: Broad-based aerospace demand growth well above expectations; validates strong end-market conditions for HONA.</w:t>
            </w:r>
          </w:p>
        </w:tc>
      </w:tr>
      <w:tr>
        <w:tc>
          <w:tcPr>
            <w:tcW w:type="dxa" w:w="2880"/>
          </w:tcPr>
          <w:p>
            <w:r>
              <w:rPr>
                <w:rFonts w:ascii="Calibri" w:hAnsi="Calibri"/>
                <w:sz w:val="22"/>
              </w:rPr>
              <w:t>Civil Engine Aftermarket</w:t>
            </w:r>
          </w:p>
        </w:tc>
        <w:tc>
          <w:tcPr>
            <w:tcW w:type="dxa" w:w="2880"/>
          </w:tcPr>
          <w:p>
            <w:r>
              <w:rPr>
                <w:rFonts w:ascii="Calibri" w:hAnsi="Calibri"/>
                <w:sz w:val="22"/>
              </w:rPr>
              <w:t>“Stellar demand in the civil engine aftermarket… spare part sales for civil engines increased by 28% in dollar value. Civil engine services also grew by more than 40%.” CFM56 continued to drive spare parts performance. LEAP shop visits expanding rapidly.</w:t>
            </w:r>
          </w:p>
        </w:tc>
        <w:tc>
          <w:tcPr>
            <w:tcW w:type="dxa" w:w="2880"/>
          </w:tcPr>
          <w:p>
            <w:r>
              <w:rPr>
                <w:rFonts w:ascii="Calibri" w:hAnsi="Calibri"/>
                <w:sz w:val="22"/>
              </w:rPr>
              <w:t>Strongly Positive: 28% spare parts growth and 40%+ services growth signals exceptional aftermarket demand; directly supports HONA’s commercial aftermarket consensus of ~$2.0B for Q2.</w:t>
            </w:r>
          </w:p>
        </w:tc>
      </w:tr>
      <w:tr>
        <w:tc>
          <w:tcPr>
            <w:tcW w:type="dxa" w:w="2880"/>
          </w:tcPr>
          <w:p>
            <w:r>
              <w:rPr>
                <w:rFonts w:ascii="Calibri" w:hAnsi="Calibri"/>
                <w:sz w:val="22"/>
              </w:rPr>
              <w:t>Middle East Impact</w:t>
            </w:r>
          </w:p>
        </w:tc>
        <w:tc>
          <w:tcPr>
            <w:tcW w:type="dxa" w:w="2880"/>
          </w:tcPr>
          <w:p>
            <w:r>
              <w:rPr>
                <w:rFonts w:ascii="Calibri" w:hAnsi="Calibri"/>
                <w:sz w:val="22"/>
              </w:rPr>
              <w:t>“The Middle East conflict barely impacted our performance. Civil aftermarket activities remaining well above our pre-conflict forecast.”</w:t>
            </w:r>
          </w:p>
        </w:tc>
        <w:tc>
          <w:tcPr>
            <w:tcW w:type="dxa" w:w="2880"/>
          </w:tcPr>
          <w:p>
            <w:r>
              <w:rPr>
                <w:rFonts w:ascii="Calibri" w:hAnsi="Calibri"/>
                <w:sz w:val="22"/>
              </w:rPr>
              <w:t>Positive: Safran’s resilience to Middle East conflict reduces downside risk for HONA’s commercial aftermarket; more constructive than HON’s Q1 commentary (~1% Q2 revenue impact).</w:t>
            </w:r>
          </w:p>
        </w:tc>
      </w:tr>
      <w:tr>
        <w:tc>
          <w:tcPr>
            <w:tcW w:type="dxa" w:w="2880"/>
          </w:tcPr>
          <w:p>
            <w:r>
              <w:rPr>
                <w:rFonts w:ascii="Calibri" w:hAnsi="Calibri"/>
                <w:sz w:val="22"/>
              </w:rPr>
              <w:t>LEAP Deliveries</w:t>
            </w:r>
          </w:p>
        </w:tc>
        <w:tc>
          <w:tcPr>
            <w:tcW w:type="dxa" w:w="2880"/>
          </w:tcPr>
          <w:p>
            <w:r>
              <w:rPr>
                <w:rFonts w:ascii="Calibri" w:hAnsi="Calibri"/>
                <w:sz w:val="22"/>
              </w:rPr>
              <w:t>LEAP deliveries up 41% in H1. Expects LEAP deliveries up high teens for FY2026. Expanding MRO capacity to meet growing aftermarket demand.</w:t>
            </w:r>
          </w:p>
        </w:tc>
        <w:tc>
          <w:tcPr>
            <w:tcW w:type="dxa" w:w="2880"/>
          </w:tcPr>
          <w:p>
            <w:r>
              <w:rPr>
                <w:rFonts w:ascii="Calibri" w:hAnsi="Calibri"/>
                <w:sz w:val="22"/>
              </w:rPr>
              <w:t>Positive: Higher LEAP deliveries drive demand for HONA’s avionics and systems content on A320neo/737 MAX platforms.</w:t>
            </w:r>
          </w:p>
        </w:tc>
      </w:tr>
      <w:tr>
        <w:tc>
          <w:tcPr>
            <w:tcW w:type="dxa" w:w="2880"/>
          </w:tcPr>
          <w:p>
            <w:r>
              <w:rPr>
                <w:rFonts w:ascii="Calibri" w:hAnsi="Calibri"/>
                <w:sz w:val="22"/>
              </w:rPr>
              <w:t>Profitability</w:t>
            </w:r>
          </w:p>
        </w:tc>
        <w:tc>
          <w:tcPr>
            <w:tcW w:type="dxa" w:w="2880"/>
          </w:tcPr>
          <w:p>
            <w:r>
              <w:rPr>
                <w:rFonts w:ascii="Calibri" w:hAnsi="Calibri"/>
                <w:sz w:val="22"/>
              </w:rPr>
              <w:t>Recurring operating income +29% to €3.24B; record 18.4% margin. Free cash flow +43% to €2.62B. Propulsion margin expected at upper end or slightly above 24% for FY2026.</w:t>
            </w:r>
          </w:p>
        </w:tc>
        <w:tc>
          <w:tcPr>
            <w:tcW w:type="dxa" w:w="2880"/>
          </w:tcPr>
          <w:p>
            <w:r>
              <w:rPr>
                <w:rFonts w:ascii="Calibri" w:hAnsi="Calibri"/>
                <w:sz w:val="22"/>
              </w:rPr>
              <w:t>Positive: Strong margin expansion and FCF conversion signals pricing power and operational leverage; constructive for HONA’s ~24.8% EBIT margin consensus.</w:t>
            </w:r>
          </w:p>
        </w:tc>
      </w:tr>
      <w:tr>
        <w:tc>
          <w:tcPr>
            <w:tcW w:type="dxa" w:w="2880"/>
          </w:tcPr>
          <w:p>
            <w:r>
              <w:rPr>
                <w:rFonts w:ascii="Calibri" w:hAnsi="Calibri"/>
                <w:sz w:val="22"/>
              </w:rPr>
              <w:t>Guidance</w:t>
            </w:r>
          </w:p>
        </w:tc>
        <w:tc>
          <w:tcPr>
            <w:tcW w:type="dxa" w:w="2880"/>
          </w:tcPr>
          <w:p>
            <w:r>
              <w:rPr>
                <w:rFonts w:ascii="Calibri" w:hAnsi="Calibri"/>
                <w:sz w:val="22"/>
              </w:rPr>
              <w:t>Raised FY2026 revenue growth to mid-teens, above €36B. Recurring operating income raised to €4.7B–€4.9B. FCF guidance raised to €6.4B–€6.5B. Spare parts and services revenues expected up mid-20s% (USD).</w:t>
            </w:r>
          </w:p>
        </w:tc>
        <w:tc>
          <w:tcPr>
            <w:tcW w:type="dxa" w:w="2880"/>
          </w:tcPr>
          <w:p>
            <w:r>
              <w:rPr>
                <w:rFonts w:ascii="Calibri" w:hAnsi="Calibri"/>
                <w:sz w:val="22"/>
              </w:rPr>
              <w:t>Positive: Broad guidance raise; spare parts growth guidance of mid-20s% in USD is a strong positive read-through for HONA’s aftermarket.</w:t>
            </w:r>
          </w:p>
        </w:tc>
      </w:tr>
    </w:tbl>
    <w:p>
      <w:pPr>
        <w:pStyle w:val="Heading3"/>
      </w:pPr>
      <w:r>
        <w:rPr>
          <w:rFonts w:ascii="Calibri" w:hAnsi="Calibri"/>
          <w:b/>
          <w:color w:val="3B4259"/>
          <w:sz w:val="24"/>
        </w:rPr>
        <w:t>Honeywell Technologies (HON) — Q2 2026 Results (Reported July 23, 2026) — HONA Segment Data</w:t>
      </w:r>
    </w:p>
    <w:p>
      <w:r>
        <w:rPr>
          <w:rFonts w:ascii="Calibri" w:hAnsi="Calibri"/>
          <w:b/>
          <w:color w:val="525866"/>
          <w:sz w:val="22"/>
        </w:rPr>
        <w:t xml:space="preserve">Read-Through Signal: </w:t>
      </w:r>
      <w:r>
        <w:rPr>
          <w:rFonts w:ascii="Calibri" w:hAnsi="Calibri"/>
          <w:b/>
          <w:color w:val="002FA7"/>
          <w:sz w:val="22"/>
        </w:rPr>
        <w:t>MIXED</w:t>
      </w:r>
    </w:p>
    <w:p>
      <w:r>
        <w:rPr>
          <w:rFonts w:ascii="Calibri" w:hAnsi="Calibri"/>
          <w:b/>
          <w:color w:val="525866"/>
          <w:sz w:val="22"/>
        </w:rPr>
        <w:t xml:space="preserve">Note: </w:t>
      </w:r>
      <w:r>
        <w:rPr>
          <w:rFonts w:ascii="Calibri" w:hAnsi="Calibri"/>
          <w:i/>
          <w:color w:val="525866"/>
          <w:sz w:val="22"/>
        </w:rPr>
        <w:t>HON’s Q2 2026 results include the last reported data for the Aerospace Technologies segment (now HONA) before the standalone carve-out financials are issued on August 5. This is the most direct data point available for HONA’s Q2 performance.</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Topic</w:t>
            </w:r>
          </w:p>
        </w:tc>
        <w:tc>
          <w:tcPr>
            <w:tcW w:type="dxa" w:w="2880"/>
            <w:shd w:val="clear" w:color="auto" w:fill="3B4259"/>
          </w:tcPr>
          <w:p>
            <w:r>
              <w:rPr>
                <w:rFonts w:ascii="Calibri" w:hAnsi="Calibri"/>
                <w:b/>
                <w:color w:val="FFFFFF"/>
                <w:sz w:val="22"/>
              </w:rPr>
              <w:t>HON / HONA Segment Commentary</w:t>
            </w:r>
          </w:p>
        </w:tc>
        <w:tc>
          <w:tcPr>
            <w:tcW w:type="dxa" w:w="2880"/>
            <w:shd w:val="clear" w:color="auto" w:fill="3B4259"/>
          </w:tcPr>
          <w:p>
            <w:r>
              <w:rPr>
                <w:rFonts w:ascii="Calibri" w:hAnsi="Calibri"/>
                <w:b/>
                <w:color w:val="FFFFFF"/>
                <w:sz w:val="22"/>
              </w:rPr>
              <w:t>Implication for Aug 5 Print</w:t>
            </w:r>
          </w:p>
        </w:tc>
      </w:tr>
      <w:tr>
        <w:tc>
          <w:tcPr>
            <w:tcW w:type="dxa" w:w="2880"/>
          </w:tcPr>
          <w:p>
            <w:r>
              <w:rPr>
                <w:rFonts w:ascii="Calibri" w:hAnsi="Calibri"/>
                <w:sz w:val="22"/>
              </w:rPr>
              <w:t>Q2 Revenue (Aero Segment)</w:t>
            </w:r>
          </w:p>
        </w:tc>
        <w:tc>
          <w:tcPr>
            <w:tcW w:type="dxa" w:w="2880"/>
          </w:tcPr>
          <w:p>
            <w:r>
              <w:rPr>
                <w:rFonts w:ascii="Calibri" w:hAnsi="Calibri"/>
                <w:sz w:val="22"/>
              </w:rPr>
              <w:t>Aerospace Technologies segment sales $4.532B, +5% organic YoY. Commercial aviation OE +17%, commercial aftermarket +7%, defense &amp; space flat.</w:t>
            </w:r>
          </w:p>
        </w:tc>
        <w:tc>
          <w:tcPr>
            <w:tcW w:type="dxa" w:w="2880"/>
          </w:tcPr>
          <w:p>
            <w:r>
              <w:rPr>
                <w:rFonts w:ascii="Calibri" w:hAnsi="Calibri"/>
                <w:sz w:val="22"/>
              </w:rPr>
              <w:t>This is the actual Q2 revenue figure that HONA will report on Aug 5 in its standalone carve-out financials. Consensus of $4.609B is slightly above the $4.532B reported in HON’s Q2 results — watch for any restatement differences in the carve-out.</w:t>
            </w:r>
          </w:p>
        </w:tc>
      </w:tr>
      <w:tr>
        <w:tc>
          <w:tcPr>
            <w:tcW w:type="dxa" w:w="2880"/>
          </w:tcPr>
          <w:p>
            <w:r>
              <w:rPr>
                <w:rFonts w:ascii="Calibri" w:hAnsi="Calibri"/>
                <w:sz w:val="22"/>
              </w:rPr>
              <w:t>Inventory Obsolescence Charge</w:t>
            </w:r>
          </w:p>
        </w:tc>
        <w:tc>
          <w:tcPr>
            <w:tcW w:type="dxa" w:w="2880"/>
          </w:tcPr>
          <w:p>
            <w:r>
              <w:rPr>
                <w:rFonts w:ascii="Calibri" w:hAnsi="Calibri"/>
                <w:sz w:val="22"/>
              </w:rPr>
              <w:t>“Segment profit grew 2% from the prior year to $1.1 billion, which included approximately $40 million of inventory obsolescence charges related to lower demand for pockets of existing inventory stock driven by emerging repair technologies extending product lives.”</w:t>
            </w:r>
          </w:p>
        </w:tc>
        <w:tc>
          <w:tcPr>
            <w:tcW w:type="dxa" w:w="2880"/>
          </w:tcPr>
          <w:p>
            <w:r>
              <w:rPr>
                <w:rFonts w:ascii="Calibri" w:hAnsi="Calibri"/>
                <w:sz w:val="22"/>
              </w:rPr>
              <w:t>Key risk: The ~$40M charge is already embedded in the $1.126B segment profit figure. The Street will want to know if this is a one-time item or recurring. Management’s characterization on Aug 5 will be critical.</w:t>
            </w:r>
          </w:p>
        </w:tc>
      </w:tr>
      <w:tr>
        <w:tc>
          <w:tcPr>
            <w:tcW w:type="dxa" w:w="2880"/>
          </w:tcPr>
          <w:p>
            <w:r>
              <w:rPr>
                <w:rFonts w:ascii="Calibri" w:hAnsi="Calibri"/>
                <w:sz w:val="22"/>
              </w:rPr>
              <w:t>Supply Chain</w:t>
            </w:r>
          </w:p>
        </w:tc>
        <w:tc>
          <w:tcPr>
            <w:tcW w:type="dxa" w:w="2880"/>
          </w:tcPr>
          <w:p>
            <w:r>
              <w:rPr>
                <w:rFonts w:ascii="Calibri" w:hAnsi="Calibri"/>
                <w:sz w:val="22"/>
              </w:rPr>
              <w:t>“Mechanical supply chain showed sequential improvement during the quarter though material supply continued to limit sales growth across end markets.”</w:t>
            </w:r>
          </w:p>
        </w:tc>
        <w:tc>
          <w:tcPr>
            <w:tcW w:type="dxa" w:w="2880"/>
          </w:tcPr>
          <w:p>
            <w:r>
              <w:rPr>
                <w:rFonts w:ascii="Calibri" w:hAnsi="Calibri"/>
                <w:sz w:val="22"/>
              </w:rPr>
              <w:t>Mixed: Sequential improvement is positive, but supply chain remains a constraint. The degree of improvement in June (the last month of Q2) will determine whether HONA can guide to accelerating H2 growth.</w:t>
            </w:r>
          </w:p>
        </w:tc>
      </w:tr>
      <w:tr>
        <w:tc>
          <w:tcPr>
            <w:tcW w:type="dxa" w:w="2880"/>
          </w:tcPr>
          <w:p>
            <w:r>
              <w:rPr>
                <w:rFonts w:ascii="Calibri" w:hAnsi="Calibri"/>
                <w:sz w:val="22"/>
              </w:rPr>
              <w:t>Segment Margin</w:t>
            </w:r>
          </w:p>
        </w:tc>
        <w:tc>
          <w:tcPr>
            <w:tcW w:type="dxa" w:w="2880"/>
          </w:tcPr>
          <w:p>
            <w:r>
              <w:rPr>
                <w:rFonts w:ascii="Calibri" w:hAnsi="Calibri"/>
                <w:sz w:val="22"/>
              </w:rPr>
              <w:t>Aerospace Technologies segment profit margin 22.2% in Q2 2026 (HON reporting basis). Note: HONA’s standalone EBIT margin consensus of ~24.8% reflects a different cost allocation methodology in the carve-out financials.</w:t>
            </w:r>
          </w:p>
        </w:tc>
        <w:tc>
          <w:tcPr>
            <w:tcW w:type="dxa" w:w="2880"/>
          </w:tcPr>
          <w:p>
            <w:r>
              <w:rPr>
                <w:rFonts w:ascii="Calibri" w:hAnsi="Calibri"/>
                <w:sz w:val="22"/>
              </w:rPr>
              <w:t>Important: The 22.2% HON-reported segment margin vs. 24.8% HONA standalone consensus reflects different cost allocation methodologies. The Aug 5 carve-out financials will establish the true standalone margin baseline.</w:t>
            </w:r>
          </w:p>
        </w:tc>
      </w:tr>
      <w:tr>
        <w:tc>
          <w:tcPr>
            <w:tcW w:type="dxa" w:w="2880"/>
          </w:tcPr>
          <w:p>
            <w:r>
              <w:rPr>
                <w:rFonts w:ascii="Calibri" w:hAnsi="Calibri"/>
                <w:sz w:val="22"/>
              </w:rPr>
              <w:t>HON Standalone (ex-HONA) Guidance</w:t>
            </w:r>
          </w:p>
        </w:tc>
        <w:tc>
          <w:tcPr>
            <w:tcW w:type="dxa" w:w="2880"/>
          </w:tcPr>
          <w:p>
            <w:r>
              <w:rPr>
                <w:rFonts w:ascii="Calibri" w:hAnsi="Calibri"/>
                <w:sz w:val="22"/>
              </w:rPr>
              <w:t>HON Technologies raised FY2026 organic growth to 3%–4% (from 2%–3%), segment margin to 20.1%–20.5% (from 19.8%–20.3%), adj. EPS to $8.05–$8.35 (from $7.90–$8.30). HON-only backlog ~$20B with orders +16%.</w:t>
            </w:r>
          </w:p>
        </w:tc>
        <w:tc>
          <w:tcPr>
            <w:tcW w:type="dxa" w:w="2880"/>
          </w:tcPr>
          <w:p>
            <w:r>
              <w:rPr>
                <w:rFonts w:ascii="Calibri" w:hAnsi="Calibri"/>
                <w:sz w:val="22"/>
              </w:rPr>
              <w:t>Neutral for HONA directly, but the strong HON standalone performance validates the portfolio separation thesis and reduces risk of any negative spillover from the parent.</w:t>
            </w:r>
          </w:p>
        </w:tc>
      </w:tr>
    </w:tbl>
    <w:p>
      <w:pPr>
        <w:pStyle w:val="Heading3"/>
      </w:pPr>
      <w:r>
        <w:rPr>
          <w:rFonts w:ascii="Calibri" w:hAnsi="Calibri"/>
          <w:b/>
          <w:color w:val="3B4259"/>
          <w:sz w:val="24"/>
        </w:rPr>
        <w:t>Peer Commentary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Q2 2026 Metric</w:t>
            </w:r>
          </w:p>
        </w:tc>
        <w:tc>
          <w:tcPr>
            <w:tcW w:type="dxa" w:w="1728"/>
            <w:shd w:val="clear" w:color="auto" w:fill="3B4259"/>
          </w:tcPr>
          <w:p>
            <w:r>
              <w:rPr>
                <w:rFonts w:ascii="Calibri" w:hAnsi="Calibri"/>
                <w:b/>
                <w:color w:val="FFFFFF"/>
                <w:sz w:val="22"/>
              </w:rPr>
              <w:t>Guidance Action</w:t>
            </w:r>
          </w:p>
        </w:tc>
        <w:tc>
          <w:tcPr>
            <w:tcW w:type="dxa" w:w="1728"/>
            <w:shd w:val="clear" w:color="auto" w:fill="3B4259"/>
          </w:tcPr>
          <w:p>
            <w:r>
              <w:rPr>
                <w:rFonts w:ascii="Calibri" w:hAnsi="Calibri"/>
                <w:b/>
                <w:color w:val="FFFFFF"/>
                <w:sz w:val="22"/>
              </w:rPr>
              <w:t>HONA Read-Through</w:t>
            </w:r>
          </w:p>
        </w:tc>
      </w:tr>
      <w:tr>
        <w:tc>
          <w:tcPr>
            <w:tcW w:type="dxa" w:w="1728"/>
          </w:tcPr>
          <w:p>
            <w:r>
              <w:rPr>
                <w:rFonts w:ascii="Calibri" w:hAnsi="Calibri"/>
                <w:sz w:val="22"/>
              </w:rPr>
              <w:t>GE Aerospace (GE)</w:t>
            </w:r>
          </w:p>
        </w:tc>
        <w:tc>
          <w:tcPr>
            <w:tcW w:type="dxa" w:w="1728"/>
          </w:tcPr>
          <w:p>
            <w:r>
              <w:rPr>
                <w:rFonts w:ascii="Calibri" w:hAnsi="Calibri"/>
                <w:sz w:val="22"/>
              </w:rPr>
              <w:t>Jul 16, 2026</w:t>
            </w:r>
          </w:p>
        </w:tc>
        <w:tc>
          <w:tcPr>
            <w:tcW w:type="dxa" w:w="1728"/>
          </w:tcPr>
          <w:p>
            <w:r>
              <w:rPr>
                <w:rFonts w:ascii="Calibri" w:hAnsi="Calibri"/>
                <w:sz w:val="22"/>
              </w:rPr>
              <w:t>Revenue +24% organic; EPS +22%; CES +27%</w:t>
            </w:r>
          </w:p>
        </w:tc>
        <w:tc>
          <w:tcPr>
            <w:tcW w:type="dxa" w:w="1728"/>
          </w:tcPr>
          <w:p>
            <w:r>
              <w:rPr>
                <w:rFonts w:ascii="Calibri" w:hAnsi="Calibri"/>
                <w:sz w:val="22"/>
              </w:rPr>
              <w:t>Raised FY2026 op. profit to $10.55B–$10.75B</w:t>
            </w:r>
          </w:p>
        </w:tc>
        <w:tc>
          <w:tcPr>
            <w:tcW w:type="dxa" w:w="1728"/>
          </w:tcPr>
          <w:p>
            <w:r>
              <w:rPr>
                <w:rFonts w:ascii="Calibri" w:hAnsi="Calibri"/>
                <w:b/>
                <w:color w:val="30A46C"/>
                <w:sz w:val="22"/>
              </w:rPr>
              <w:t>Strongly Positive</w:t>
            </w:r>
          </w:p>
        </w:tc>
      </w:tr>
      <w:tr>
        <w:tc>
          <w:tcPr>
            <w:tcW w:type="dxa" w:w="1728"/>
          </w:tcPr>
          <w:p>
            <w:r>
              <w:rPr>
                <w:rFonts w:ascii="Calibri" w:hAnsi="Calibri"/>
                <w:sz w:val="22"/>
              </w:rPr>
              <w:t>RTX / Collins Aerospace (RTX)</w:t>
            </w:r>
          </w:p>
        </w:tc>
        <w:tc>
          <w:tcPr>
            <w:tcW w:type="dxa" w:w="1728"/>
          </w:tcPr>
          <w:p>
            <w:r>
              <w:rPr>
                <w:rFonts w:ascii="Calibri" w:hAnsi="Calibri"/>
                <w:sz w:val="22"/>
              </w:rPr>
              <w:t>Jul 23, 2026</w:t>
            </w:r>
          </w:p>
        </w:tc>
        <w:tc>
          <w:tcPr>
            <w:tcW w:type="dxa" w:w="1728"/>
          </w:tcPr>
          <w:p>
            <w:r>
              <w:rPr>
                <w:rFonts w:ascii="Calibri" w:hAnsi="Calibri"/>
                <w:sz w:val="22"/>
              </w:rPr>
              <w:t>Collins +13% organic; OE +26%; aftermarket +10%</w:t>
            </w:r>
          </w:p>
        </w:tc>
        <w:tc>
          <w:tcPr>
            <w:tcW w:type="dxa" w:w="1728"/>
          </w:tcPr>
          <w:p>
            <w:r>
              <w:rPr>
                <w:rFonts w:ascii="Calibri" w:hAnsi="Calibri"/>
                <w:sz w:val="22"/>
              </w:rPr>
              <w:t>Raised FY2026 adj. sales to $95B–$96B; EPS to $7.10–$7.25</w:t>
            </w:r>
          </w:p>
        </w:tc>
        <w:tc>
          <w:tcPr>
            <w:tcW w:type="dxa" w:w="1728"/>
          </w:tcPr>
          <w:p>
            <w:r>
              <w:rPr>
                <w:rFonts w:ascii="Calibri" w:hAnsi="Calibri"/>
                <w:b/>
                <w:color w:val="30A46C"/>
                <w:sz w:val="22"/>
              </w:rPr>
              <w:t>Strongly Positive</w:t>
            </w:r>
          </w:p>
        </w:tc>
      </w:tr>
      <w:tr>
        <w:tc>
          <w:tcPr>
            <w:tcW w:type="dxa" w:w="1728"/>
          </w:tcPr>
          <w:p>
            <w:r>
              <w:rPr>
                <w:rFonts w:ascii="Calibri" w:hAnsi="Calibri"/>
                <w:sz w:val="22"/>
              </w:rPr>
              <w:t>TransDigm (TDG)</w:t>
            </w:r>
          </w:p>
        </w:tc>
        <w:tc>
          <w:tcPr>
            <w:tcW w:type="dxa" w:w="1728"/>
          </w:tcPr>
          <w:p>
            <w:r>
              <w:rPr>
                <w:rFonts w:ascii="Calibri" w:hAnsi="Calibri"/>
                <w:sz w:val="22"/>
              </w:rPr>
              <w:t>Jul 31, 2026</w:t>
            </w:r>
          </w:p>
        </w:tc>
        <w:tc>
          <w:tcPr>
            <w:tcW w:type="dxa" w:w="1728"/>
          </w:tcPr>
          <w:p>
            <w:r>
              <w:rPr>
                <w:rFonts w:ascii="Calibri" w:hAnsi="Calibri"/>
                <w:sz w:val="22"/>
              </w:rPr>
              <w:t>Revenue +22.5%; EPS beat +5.2%; aftermarket +14%</w:t>
            </w:r>
          </w:p>
        </w:tc>
        <w:tc>
          <w:tcPr>
            <w:tcW w:type="dxa" w:w="1728"/>
          </w:tcPr>
          <w:p>
            <w:r>
              <w:rPr>
                <w:rFonts w:ascii="Calibri" w:hAnsi="Calibri"/>
                <w:sz w:val="22"/>
              </w:rPr>
              <w:t>Raised FY2026 revenue to $10.51B; EPS to $41.04</w:t>
            </w:r>
          </w:p>
        </w:tc>
        <w:tc>
          <w:tcPr>
            <w:tcW w:type="dxa" w:w="1728"/>
          </w:tcPr>
          <w:p>
            <w:r>
              <w:rPr>
                <w:rFonts w:ascii="Calibri" w:hAnsi="Calibri"/>
                <w:b/>
                <w:color w:val="30A46C"/>
                <w:sz w:val="22"/>
              </w:rPr>
              <w:t>Positive</w:t>
            </w:r>
          </w:p>
        </w:tc>
      </w:tr>
      <w:tr>
        <w:tc>
          <w:tcPr>
            <w:tcW w:type="dxa" w:w="1728"/>
          </w:tcPr>
          <w:p>
            <w:r>
              <w:rPr>
                <w:rFonts w:ascii="Calibri" w:hAnsi="Calibri"/>
                <w:sz w:val="22"/>
              </w:rPr>
              <w:t>Safran (SAF)</w:t>
            </w:r>
          </w:p>
        </w:tc>
        <w:tc>
          <w:tcPr>
            <w:tcW w:type="dxa" w:w="1728"/>
          </w:tcPr>
          <w:p>
            <w:r>
              <w:rPr>
                <w:rFonts w:ascii="Calibri" w:hAnsi="Calibri"/>
                <w:sz w:val="22"/>
              </w:rPr>
              <w:t>Jul 28, 2026</w:t>
            </w:r>
          </w:p>
        </w:tc>
        <w:tc>
          <w:tcPr>
            <w:tcW w:type="dxa" w:w="1728"/>
          </w:tcPr>
          <w:p>
            <w:r>
              <w:rPr>
                <w:rFonts w:ascii="Calibri" w:hAnsi="Calibri"/>
                <w:sz w:val="22"/>
              </w:rPr>
              <w:t>H1 revenue +20% organic; spare parts +28%; services +40%+</w:t>
            </w:r>
          </w:p>
        </w:tc>
        <w:tc>
          <w:tcPr>
            <w:tcW w:type="dxa" w:w="1728"/>
          </w:tcPr>
          <w:p>
            <w:r>
              <w:rPr>
                <w:rFonts w:ascii="Calibri" w:hAnsi="Calibri"/>
                <w:sz w:val="22"/>
              </w:rPr>
              <w:t>Raised FY2026 revenue to mid-teens growth, &gt;EUR 36B</w:t>
            </w:r>
          </w:p>
        </w:tc>
        <w:tc>
          <w:tcPr>
            <w:tcW w:type="dxa" w:w="1728"/>
          </w:tcPr>
          <w:p>
            <w:r>
              <w:rPr>
                <w:rFonts w:ascii="Calibri" w:hAnsi="Calibri"/>
                <w:b/>
                <w:color w:val="30A46C"/>
                <w:sz w:val="22"/>
              </w:rPr>
              <w:t>Positive</w:t>
            </w:r>
          </w:p>
        </w:tc>
      </w:tr>
      <w:tr>
        <w:tc>
          <w:tcPr>
            <w:tcW w:type="dxa" w:w="1728"/>
          </w:tcPr>
          <w:p>
            <w:r>
              <w:rPr>
                <w:rFonts w:ascii="Calibri" w:hAnsi="Calibri"/>
                <w:sz w:val="22"/>
              </w:rPr>
              <w:t>HON Technologies (HON) — HONA Segment</w:t>
            </w:r>
          </w:p>
        </w:tc>
        <w:tc>
          <w:tcPr>
            <w:tcW w:type="dxa" w:w="1728"/>
          </w:tcPr>
          <w:p>
            <w:r>
              <w:rPr>
                <w:rFonts w:ascii="Calibri" w:hAnsi="Calibri"/>
                <w:sz w:val="22"/>
              </w:rPr>
              <w:t>Jul 23, 2026</w:t>
            </w:r>
          </w:p>
        </w:tc>
        <w:tc>
          <w:tcPr>
            <w:tcW w:type="dxa" w:w="1728"/>
          </w:tcPr>
          <w:p>
            <w:r>
              <w:rPr>
                <w:rFonts w:ascii="Calibri" w:hAnsi="Calibri"/>
                <w:sz w:val="22"/>
              </w:rPr>
              <w:t>Aero segment $4.53B (+5% organic); $40M obsolescence charge</w:t>
            </w:r>
          </w:p>
        </w:tc>
        <w:tc>
          <w:tcPr>
            <w:tcW w:type="dxa" w:w="1728"/>
          </w:tcPr>
          <w:p>
            <w:r>
              <w:rPr>
                <w:rFonts w:ascii="Calibri" w:hAnsi="Calibri"/>
                <w:sz w:val="22"/>
              </w:rPr>
              <w:t>N/A (HONA standalone guidance TBD Aug 5)</w:t>
            </w:r>
          </w:p>
        </w:tc>
        <w:tc>
          <w:tcPr>
            <w:tcW w:type="dxa" w:w="1728"/>
          </w:tcPr>
          <w:p>
            <w:r>
              <w:rPr>
                <w:rFonts w:ascii="Calibri" w:hAnsi="Calibri"/>
                <w:b/>
                <w:color w:val="002FA7"/>
                <w:sz w:val="22"/>
              </w:rPr>
              <w:t>Mixed</w:t>
            </w:r>
          </w:p>
        </w:tc>
      </w:tr>
    </w:tbl>
    <w:p>
      <w:r>
        <w:rPr>
          <w:rFonts w:ascii="Calibri" w:hAnsi="Calibri"/>
          <w:b/>
          <w:color w:val="525866"/>
          <w:sz w:val="22"/>
        </w:rPr>
        <w:t xml:space="preserve">Bottom Line: </w:t>
      </w:r>
      <w:r>
        <w:rPr>
          <w:rFonts w:ascii="Calibri" w:hAnsi="Calibri"/>
          <w:color w:val="525866"/>
          <w:sz w:val="22"/>
        </w:rPr>
        <w:t>The peer read-through environment is the most constructive it has been in years for aerospace suppliers. Every major peer beat Q2 estimates and raised FY2026 guidance, driven by commercial aftermarket strength, OE ramp, and resilient defense demand. The one HONA-specific concern — the ~$40M inventory obsolescence charge and mechanical supply chain constraints — is already known to the market. If HONA’s standalone carve-out financials show a clean Q2 and management issues constructive FY2026 guidance, the stock has meaningful re-rating potential from its current ~24x P/E discount to peers.</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have been filed since the spinoff. All Form 4 activity reflects routine RSU vesting and tax-withholding transactions (Code F) — </w:t>
      </w:r>
      <w:r>
        <w:rPr>
          <w:rFonts w:ascii="Calibri" w:hAnsi="Calibri"/>
          <w:b/>
          <w:color w:val="525866"/>
          <w:sz w:val="22"/>
        </w:rPr>
        <w:t>nothing unusual or directionally significant</w:t>
      </w:r>
      <w:r>
        <w:rPr>
          <w:rFonts w:ascii="Calibri" w:hAnsi="Calibri"/>
          <w:color w:val="525866"/>
          <w:sz w:val="22"/>
        </w:rPr>
        <w:t>. The absence of open-market buying by insiders ahead of the first standalone print is notable but not alarming given the typical 30–60 day quiet period following a spinoff.</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James E. Currier</w:t>
            </w:r>
          </w:p>
        </w:tc>
        <w:tc>
          <w:tcPr>
            <w:tcW w:type="dxa" w:w="1440"/>
          </w:tcPr>
          <w:p>
            <w:r>
              <w:rPr>
                <w:rFonts w:ascii="Calibri" w:hAnsi="Calibri"/>
                <w:sz w:val="22"/>
              </w:rPr>
              <w:t>President &amp; CEO</w:t>
            </w:r>
          </w:p>
        </w:tc>
        <w:tc>
          <w:tcPr>
            <w:tcW w:type="dxa" w:w="1440"/>
          </w:tcPr>
          <w:p>
            <w:r>
              <w:rPr>
                <w:rFonts w:ascii="Calibri" w:hAnsi="Calibri"/>
                <w:sz w:val="22"/>
              </w:rPr>
              <w:t>RSU Vesting / Tax Withholding (Code F)</w:t>
            </w:r>
          </w:p>
        </w:tc>
        <w:tc>
          <w:tcPr>
            <w:tcW w:type="dxa" w:w="1440"/>
          </w:tcPr>
          <w:p>
            <w:r>
              <w:rPr>
                <w:rFonts w:ascii="Calibri" w:hAnsi="Calibri"/>
                <w:sz w:val="22"/>
              </w:rPr>
              <w:t>345 shares withheld @ $204.32 = ~$70K</w:t>
            </w:r>
          </w:p>
        </w:tc>
        <w:tc>
          <w:tcPr>
            <w:tcW w:type="dxa" w:w="1440"/>
          </w:tcPr>
          <w:p>
            <w:r>
              <w:rPr>
                <w:rFonts w:ascii="Calibri" w:hAnsi="Calibri"/>
                <w:sz w:val="22"/>
              </w:rPr>
              <w:t>Jul 30, 2026</w:t>
            </w:r>
          </w:p>
        </w:tc>
        <w:tc>
          <w:tcPr>
            <w:tcW w:type="dxa" w:w="1440"/>
          </w:tcPr>
          <w:p>
            <w:r>
              <w:rPr>
                <w:rFonts w:ascii="Calibri" w:hAnsi="Calibri"/>
                <w:sz w:val="22"/>
              </w:rPr>
              <w:t>842.5 RSUs vested (incl. dividend equivalents); 345 shares withheld for tax obligation. Not an open-market sale. No 10b5-1 plan indicated. Net 497.5 shares acquired. Holds 4,649.8 shares direct + 430 in 401(k).</w:t>
            </w:r>
          </w:p>
        </w:tc>
      </w:tr>
      <w:tr>
        <w:tc>
          <w:tcPr>
            <w:tcW w:type="dxa" w:w="1440"/>
          </w:tcPr>
          <w:p>
            <w:r>
              <w:rPr>
                <w:rFonts w:ascii="Calibri" w:hAnsi="Calibri"/>
                <w:sz w:val="22"/>
              </w:rPr>
              <w:t>Karen Elizabeth Arlak</w:t>
            </w:r>
          </w:p>
        </w:tc>
        <w:tc>
          <w:tcPr>
            <w:tcW w:type="dxa" w:w="1440"/>
          </w:tcPr>
          <w:p>
            <w:r>
              <w:rPr>
                <w:rFonts w:ascii="Calibri" w:hAnsi="Calibri"/>
                <w:sz w:val="22"/>
              </w:rPr>
              <w:t>SVP &amp; CHRO</w:t>
            </w:r>
          </w:p>
        </w:tc>
        <w:tc>
          <w:tcPr>
            <w:tcW w:type="dxa" w:w="1440"/>
          </w:tcPr>
          <w:p>
            <w:r>
              <w:rPr>
                <w:rFonts w:ascii="Calibri" w:hAnsi="Calibri"/>
                <w:sz w:val="22"/>
              </w:rPr>
              <w:t>RSU Vesting / Tax Withholding (Code F)</w:t>
            </w:r>
          </w:p>
        </w:tc>
        <w:tc>
          <w:tcPr>
            <w:tcW w:type="dxa" w:w="1440"/>
          </w:tcPr>
          <w:p>
            <w:r>
              <w:rPr>
                <w:rFonts w:ascii="Calibri" w:hAnsi="Calibri"/>
                <w:sz w:val="22"/>
              </w:rPr>
              <w:t>471 shares withheld @ $208.37 = ~$98K</w:t>
            </w:r>
          </w:p>
        </w:tc>
        <w:tc>
          <w:tcPr>
            <w:tcW w:type="dxa" w:w="1440"/>
          </w:tcPr>
          <w:p>
            <w:r>
              <w:rPr>
                <w:rFonts w:ascii="Calibri" w:hAnsi="Calibri"/>
                <w:sz w:val="22"/>
              </w:rPr>
              <w:t>Jul 16, 2026</w:t>
            </w:r>
          </w:p>
        </w:tc>
        <w:tc>
          <w:tcPr>
            <w:tcW w:type="dxa" w:w="1440"/>
          </w:tcPr>
          <w:p>
            <w:r>
              <w:rPr>
                <w:rFonts w:ascii="Calibri" w:hAnsi="Calibri"/>
                <w:sz w:val="22"/>
              </w:rPr>
              <w:t>1,756.5 RSUs vested; 471 shares withheld for tax obligation. Not an open-market sale. Net 1,285.5 shares acquired. Holds 1,663.5 RSUs (vest Jun 29, 2027) + 1,512 shares in 401(k).</w:t>
            </w:r>
          </w:p>
        </w:tc>
      </w:tr>
      <w:tr>
        <w:tc>
          <w:tcPr>
            <w:tcW w:type="dxa" w:w="1440"/>
          </w:tcPr>
          <w:p>
            <w:r>
              <w:rPr>
                <w:rFonts w:ascii="Calibri" w:hAnsi="Calibri"/>
                <w:sz w:val="22"/>
              </w:rPr>
              <w:t>Multiple Directors / Officers</w:t>
            </w:r>
          </w:p>
        </w:tc>
        <w:tc>
          <w:tcPr>
            <w:tcW w:type="dxa" w:w="1440"/>
          </w:tcPr>
          <w:p>
            <w:r>
              <w:rPr>
                <w:rFonts w:ascii="Calibri" w:hAnsi="Calibri"/>
                <w:sz w:val="22"/>
              </w:rPr>
              <w:t>Various (Board &amp; C-Suite)</w:t>
            </w:r>
          </w:p>
        </w:tc>
        <w:tc>
          <w:tcPr>
            <w:tcW w:type="dxa" w:w="1440"/>
          </w:tcPr>
          <w:p>
            <w:r>
              <w:rPr>
                <w:rFonts w:ascii="Calibri" w:hAnsi="Calibri"/>
                <w:sz w:val="22"/>
              </w:rPr>
              <w:t>Initial Form 4 Filings (Spinoff-Related)</w:t>
            </w:r>
          </w:p>
        </w:tc>
        <w:tc>
          <w:tcPr>
            <w:tcW w:type="dxa" w:w="1440"/>
          </w:tcPr>
          <w:p>
            <w:r>
              <w:rPr>
                <w:rFonts w:ascii="Calibri" w:hAnsi="Calibri"/>
                <w:sz w:val="22"/>
              </w:rPr>
              <w:t>N/A — initial ownership statements</w:t>
            </w:r>
          </w:p>
        </w:tc>
        <w:tc>
          <w:tcPr>
            <w:tcW w:type="dxa" w:w="1440"/>
          </w:tcPr>
          <w:p>
            <w:r>
              <w:rPr>
                <w:rFonts w:ascii="Calibri" w:hAnsi="Calibri"/>
                <w:sz w:val="22"/>
              </w:rPr>
              <w:t>Jul 1, 2026</w:t>
            </w:r>
          </w:p>
        </w:tc>
        <w:tc>
          <w:tcPr>
            <w:tcW w:type="dxa" w:w="1440"/>
          </w:tcPr>
          <w:p>
            <w:r>
              <w:rPr>
                <w:rFonts w:ascii="Calibri" w:hAnsi="Calibri"/>
                <w:sz w:val="22"/>
              </w:rPr>
              <w:t>Multiple Form 4s filed on Jul 1 by Reuss, Currier, Desroches, Goldfein, Seitz, Arlak, Roper, Denton, Huber, Buddecke and others — routine initial ownership disclosures upon spinoff completion. No open-market transactions.</w:t>
            </w:r>
          </w:p>
        </w:tc>
      </w:tr>
    </w:tbl>
    <w:p>
      <w:r>
        <w:rPr>
          <w:rFonts w:ascii="Calibri" w:hAnsi="Calibri"/>
          <w:b/>
          <w:color w:val="525866"/>
          <w:sz w:val="22"/>
        </w:rPr>
        <w:t xml:space="preserve">Summary: </w:t>
      </w:r>
      <w:r>
        <w:rPr>
          <w:rFonts w:ascii="Calibri" w:hAnsi="Calibri"/>
          <w:color w:val="525866"/>
          <w:sz w:val="22"/>
        </w:rPr>
        <w:t>All Form 4 activity since the June 29 spinoff consists of RSU vesting events and associated tax-withholding share disposals (Code F transactions) — these are obligation-driven, not discretionary, and carry no directional signal. No open-market buys (Code P) or discretionary sells (Code S) have been filed. The absence of open-market buying is consistent with a typical post-spinoff quiet period and does not indicate insider concern. Insider query via SEC Form 4 database returned no open-market transactions for the specified period.</w:t>
      </w:r>
    </w:p>
    <w:p>
      <w:r>
        <w:rPr>
          <w:rFonts w:ascii="Calibri" w:hAnsi="Calibri"/>
          <w:i/>
          <w:color w:val="525866"/>
          <w:sz w:val="22"/>
        </w:rPr>
        <w:t>Sources: SEC Form 4 filings; Perplexity/internet research. Stock price data: Yahoo Finance. Visible Alpha consensus and actuals data for all KPI figures. Peer commentary: company earnings releases and transcripts (GE Aerospace Jul 16, RTX Jul 23, TransDigm Jul 31, Safran Jul 28, Honeywell Technologies Jul 23, 2026). Analyst price targets: MarketBeat, Barchart (as of Jul–Aug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