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Honeywell Aerospace Inc. (HONA)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Honeywell Aerospace Inc.</w:t>
            </w:r>
          </w:p>
        </w:tc>
      </w:tr>
      <w:tr>
        <w:tc>
          <w:tcPr>
            <w:tcW w:type="dxa" w:w="4320"/>
          </w:tcPr>
          <w:p>
            <w:r>
              <w:rPr>
                <w:rFonts w:ascii="Calibri" w:hAnsi="Calibri"/>
                <w:b/>
                <w:sz w:val="22"/>
              </w:rPr>
              <w:t>Ticker</w:t>
            </w:r>
          </w:p>
        </w:tc>
        <w:tc>
          <w:tcPr>
            <w:tcW w:type="dxa" w:w="4320"/>
          </w:tcPr>
          <w:p>
            <w:r>
              <w:rPr>
                <w:rFonts w:ascii="Calibri" w:hAnsi="Calibri"/>
                <w:sz w:val="22"/>
              </w:rPr>
              <w:t>HONA (Nasdaq)</w:t>
            </w:r>
          </w:p>
        </w:tc>
      </w:tr>
      <w:tr>
        <w:tc>
          <w:tcPr>
            <w:tcW w:type="dxa" w:w="4320"/>
          </w:tcPr>
          <w:p>
            <w:r>
              <w:rPr>
                <w:rFonts w:ascii="Calibri" w:hAnsi="Calibri"/>
                <w:b/>
                <w:sz w:val="22"/>
              </w:rPr>
              <w:t>Upcoming Earnings Date</w:t>
            </w:r>
          </w:p>
        </w:tc>
        <w:tc>
          <w:tcPr>
            <w:tcW w:type="dxa" w:w="4320"/>
          </w:tcPr>
          <w:p>
            <w:r>
              <w:rPr>
                <w:rFonts w:ascii="Calibri" w:hAnsi="Calibri"/>
                <w:sz w:val="22"/>
              </w:rPr>
              <w:t>August 5, 2026 (after market close; conference call 5:00 pm EDT)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Sector / Industry</w:t>
            </w:r>
          </w:p>
        </w:tc>
        <w:tc>
          <w:tcPr>
            <w:tcW w:type="dxa" w:w="4320"/>
          </w:tcPr>
          <w:p>
            <w:r>
              <w:rPr>
                <w:rFonts w:ascii="Calibri" w:hAnsi="Calibri"/>
                <w:sz w:val="22"/>
              </w:rPr>
              <w:t>Aerospace &amp; Defense — Aerospace Equipment</w:t>
            </w:r>
          </w:p>
        </w:tc>
      </w:tr>
      <w:tr>
        <w:tc>
          <w:tcPr>
            <w:tcW w:type="dxa" w:w="4320"/>
          </w:tcPr>
          <w:p>
            <w:r>
              <w:rPr>
                <w:rFonts w:ascii="Calibri" w:hAnsi="Calibri"/>
                <w:b/>
                <w:sz w:val="22"/>
              </w:rPr>
              <w:t>⚠ Spin-off Comparability Note</w:t>
            </w:r>
          </w:p>
        </w:tc>
        <w:tc>
          <w:tcPr>
            <w:tcW w:type="dxa" w:w="4320"/>
          </w:tcPr>
          <w:p>
            <w:r>
              <w:rPr>
                <w:rFonts w:ascii="Calibri" w:hAnsi="Calibri"/>
                <w:sz w:val="22"/>
              </w:rPr>
              <w:t>HONA began trading as an independent public company on June 29, 2026, following its spin-off from Honeywell International (now Honeywell Technologies, HON). Historical financials reflect the former Aerospace Technologies segment of HON and may differ from standalone results due to corporate cost allocations, intracompany transaction treatment, and perimeter adjustments. All prior-period figures should be interpreted with this caveat.</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HONA’s inaugural standalone print is constructive — consensus expects mid-to-high single-digit organic revenue growth and ~$2.07 adjusted EPS — but the bar is not stretched, and the biggest swing factor is whether the Q1 supply-chain recovery in Engines &amp; Power Systems and Control Systems has fully carried through into June.</w:t>
      </w:r>
    </w:p>
    <w:p>
      <w:r>
        <w:rPr>
          <w:rFonts w:ascii="Calibri" w:hAnsi="Calibri"/>
          <w:color w:val="525866"/>
          <w:sz w:val="22"/>
        </w:rPr>
        <w:t xml:space="preserve">Honeywell Aerospace enters its first earnings report as an independent company with demand that management has consistently described as “exceptionally strong” and growth constrained by supply rather than end-market weakness. At the June 3 Investor Day, management guided Q2 2026 organic sales growth of </w:t>
      </w:r>
      <w:r>
        <w:rPr>
          <w:rFonts w:ascii="Calibri" w:hAnsi="Calibri"/>
          <w:b/>
          <w:color w:val="525866"/>
          <w:sz w:val="22"/>
        </w:rPr>
        <w:t>mid-to-high single digits</w:t>
      </w:r>
      <w:r>
        <w:rPr>
          <w:rFonts w:ascii="Calibri" w:hAnsi="Calibri"/>
          <w:color w:val="525866"/>
          <w:sz w:val="22"/>
        </w:rPr>
        <w:t xml:space="preserve">, consistent with the language used on the Q1 2026 earnings call (April 23), where the company flagged an acute but transitory mechanical supply-chain disruption in January–February that recovered sharply in March and carried into April. Consensus EPS has drifted modestly lower since the spin — from ~$1.99 in June to ~$1.97 in July — suggesting the street is not pricing in a meaningful beat, leaving room for upside if supply execution holds. The stock has pulled back roughly </w:t>
      </w:r>
      <w:r>
        <w:rPr>
          <w:rFonts w:ascii="Calibri" w:hAnsi="Calibri"/>
          <w:b/>
          <w:color w:val="525866"/>
          <w:sz w:val="22"/>
        </w:rPr>
        <w:t>11% from its July 2 post-spin peak of ~$247</w:t>
      </w:r>
      <w:r>
        <w:rPr>
          <w:rFonts w:ascii="Calibri" w:hAnsi="Calibri"/>
          <w:color w:val="525866"/>
          <w:sz w:val="22"/>
        </w:rPr>
        <w:t xml:space="preserve"> to ~$208 as of August 3, underperforming XAR over the same window, which implies the market has already de-rated the name modestly and the bar for a positive reaction is lower than it was a month ago. The wildcard is the </w:t>
      </w:r>
      <w:r>
        <w:rPr>
          <w:rFonts w:ascii="Calibri" w:hAnsi="Calibri"/>
          <w:b/>
          <w:color w:val="525866"/>
          <w:sz w:val="22"/>
        </w:rPr>
        <w:t>trademark license fee headwind</w:t>
      </w:r>
      <w:r>
        <w:rPr>
          <w:rFonts w:ascii="Calibri" w:hAnsi="Calibri"/>
          <w:color w:val="525866"/>
          <w:sz w:val="22"/>
        </w:rPr>
        <w:t xml:space="preserve"> ($225M cash impact annually to HONA from the Honeywell Technologies framework license agreement) and how management frames standalone cost structure and free cash flow guidance for H2 2026, where the company has guided $1.0–$1.5B of FCF — the first hard FCF commitment as a public company.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not aggressive, bar — mid-to-high single-digit organic growth is well within management’s own guidance range. The bigger swing factor is </w:t>
      </w:r>
      <w:r>
        <w:rPr>
          <w:rFonts w:ascii="Calibri" w:hAnsi="Calibri"/>
          <w:b/>
          <w:color w:val="525866"/>
          <w:sz w:val="22"/>
        </w:rPr>
        <w:t>segment EBIT margin</w:t>
      </w:r>
      <w:r>
        <w:rPr>
          <w:rFonts w:ascii="Calibri" w:hAnsi="Calibri"/>
          <w:color w:val="525866"/>
          <w:sz w:val="22"/>
        </w:rPr>
        <w:t xml:space="preserve"> (guided ~26% for FY2026) and whether Defense &amp; Space and Commercial Aftermarket can offset any residual Engines &amp; Power Systems lumpiness.</w:t>
      </w:r>
    </w:p>
    <w:p>
      <w:pPr>
        <w:pStyle w:val="Heading3"/>
      </w:pPr>
      <w:r>
        <w:rPr>
          <w:rFonts w:ascii="Calibri" w:hAnsi="Calibri"/>
          <w:b/>
          <w:color w:val="3B4259"/>
          <w:sz w:val="24"/>
        </w:rPr>
        <w:t>Table 1 — Current Quarter Snapshot (Q2 2026, All Key KPIs)</w:t>
      </w:r>
    </w:p>
    <w:p>
      <w:r>
        <w:rPr>
          <w:rFonts w:ascii="Calibri" w:hAnsi="Calibri"/>
          <w:b/>
          <w:color w:val="525866"/>
          <w:sz w:val="22"/>
        </w:rPr>
        <w:t xml:space="preserve">⚠ Spin-off Note: </w:t>
      </w:r>
      <w:r>
        <w:rPr>
          <w:rFonts w:ascii="Calibri" w:hAnsi="Calibri"/>
          <w:color w:val="525866"/>
          <w:sz w:val="22"/>
        </w:rPr>
        <w:t>Prior-year figures (Q2 2025) reflect the former Honeywell Aerospace Technologies segment reported under HON. Standalone HONA results may differ due to cost allocation and perimeter changes. Consensus estimates are sourced from Visible Alpha (VA). Guidance is from the HON Q1 2026 earnings call (April 23, 2026) and the HONA Investor Day (June 3,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Management Guidance (Q2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$4.352B</w:t>
            </w:r>
          </w:p>
        </w:tc>
        <w:tc>
          <w:tcPr>
            <w:tcW w:type="dxa" w:w="1234"/>
          </w:tcPr>
          <w:p>
            <w:r>
              <w:rPr>
                <w:rFonts w:ascii="Calibri" w:hAnsi="Calibri"/>
                <w:sz w:val="22"/>
              </w:rPr>
              <w:t>$4.289B</w:t>
            </w:r>
          </w:p>
        </w:tc>
        <w:tc>
          <w:tcPr>
            <w:tcW w:type="dxa" w:w="1234"/>
          </w:tcPr>
          <w:p>
            <w:r>
              <w:rPr>
                <w:rFonts w:ascii="Calibri" w:hAnsi="Calibri"/>
                <w:sz w:val="22"/>
              </w:rPr>
              <w:t>$4.609B</w:t>
            </w:r>
          </w:p>
        </w:tc>
        <w:tc>
          <w:tcPr>
            <w:tcW w:type="dxa" w:w="1234"/>
          </w:tcPr>
          <w:p>
            <w:r>
              <w:rPr>
                <w:rFonts w:ascii="Calibri" w:hAnsi="Calibri"/>
                <w:sz w:val="22"/>
              </w:rPr>
              <w:t>+7.5% YoY</w:t>
            </w:r>
          </w:p>
        </w:tc>
        <w:tc>
          <w:tcPr>
            <w:tcW w:type="dxa" w:w="1234"/>
          </w:tcPr>
          <w:p>
            <w:r>
              <w:rPr>
                <w:rFonts w:ascii="Calibri" w:hAnsi="Calibri"/>
                <w:sz w:val="22"/>
              </w:rPr>
              <w:t>Mid-to-high single-digit organic growth</w:t>
            </w:r>
          </w:p>
        </w:tc>
        <w:tc>
          <w:tcPr>
            <w:tcW w:type="dxa" w:w="1234"/>
          </w:tcPr>
          <w:p>
            <w:r>
              <w:rPr>
                <w:rFonts w:ascii="Calibri" w:hAnsi="Calibri"/>
                <w:sz w:val="22"/>
              </w:rPr>
              <w:t>Within guidance range</w:t>
            </w:r>
          </w:p>
        </w:tc>
      </w:tr>
      <w:tr>
        <w:tc>
          <w:tcPr>
            <w:tcW w:type="dxa" w:w="1234"/>
          </w:tcPr>
          <w:p>
            <w:r>
              <w:rPr>
                <w:rFonts w:ascii="Calibri" w:hAnsi="Calibri"/>
                <w:sz w:val="22"/>
              </w:rPr>
              <w:t>Adj. Operating EBIT ($B)</w:t>
            </w:r>
          </w:p>
        </w:tc>
        <w:tc>
          <w:tcPr>
            <w:tcW w:type="dxa" w:w="1234"/>
          </w:tcPr>
          <w:p>
            <w:r>
              <w:rPr>
                <w:rFonts w:ascii="Calibri" w:hAnsi="Calibri"/>
                <w:sz w:val="22"/>
              </w:rPr>
              <w:t>$1.088B</w:t>
            </w:r>
          </w:p>
        </w:tc>
        <w:tc>
          <w:tcPr>
            <w:tcW w:type="dxa" w:w="1234"/>
          </w:tcPr>
          <w:p>
            <w:r>
              <w:rPr>
                <w:rFonts w:ascii="Calibri" w:hAnsi="Calibri"/>
                <w:sz w:val="22"/>
              </w:rPr>
              <w:t>$1.066B</w:t>
            </w:r>
          </w:p>
        </w:tc>
        <w:tc>
          <w:tcPr>
            <w:tcW w:type="dxa" w:w="1234"/>
          </w:tcPr>
          <w:p>
            <w:r>
              <w:rPr>
                <w:rFonts w:ascii="Calibri" w:hAnsi="Calibri"/>
                <w:sz w:val="22"/>
              </w:rPr>
              <w:t>$1.144B</w:t>
            </w:r>
          </w:p>
        </w:tc>
        <w:tc>
          <w:tcPr>
            <w:tcW w:type="dxa" w:w="1234"/>
          </w:tcPr>
          <w:p>
            <w:r>
              <w:rPr>
                <w:rFonts w:ascii="Calibri" w:hAnsi="Calibri"/>
                <w:sz w:val="22"/>
              </w:rPr>
              <w:t>+7.3% YoY</w:t>
            </w:r>
          </w:p>
        </w:tc>
        <w:tc>
          <w:tcPr>
            <w:tcW w:type="dxa" w:w="1234"/>
          </w:tcPr>
          <w:p>
            <w:r>
              <w:rPr>
                <w:rFonts w:ascii="Calibri" w:hAnsi="Calibri"/>
                <w:sz w:val="22"/>
              </w:rPr>
              <w:t>~26% segment margin for FY2026</w:t>
            </w:r>
          </w:p>
        </w:tc>
        <w:tc>
          <w:tcPr>
            <w:tcW w:type="dxa" w:w="1234"/>
          </w:tcPr>
          <w:p>
            <w:r>
              <w:rPr>
                <w:rFonts w:ascii="Calibri" w:hAnsi="Calibri"/>
                <w:sz w:val="22"/>
              </w:rPr>
              <w:t>~24.8% implied; roughly flat vs. Q1</w:t>
            </w:r>
          </w:p>
        </w:tc>
      </w:tr>
      <w:tr>
        <w:tc>
          <w:tcPr>
            <w:tcW w:type="dxa" w:w="1234"/>
          </w:tcPr>
          <w:p>
            <w:r>
              <w:rPr>
                <w:rFonts w:ascii="Calibri" w:hAnsi="Calibri"/>
                <w:sz w:val="22"/>
              </w:rPr>
              <w:t>Adj. Diluted EPS ($)</w:t>
            </w:r>
          </w:p>
        </w:tc>
        <w:tc>
          <w:tcPr>
            <w:tcW w:type="dxa" w:w="1234"/>
          </w:tcPr>
          <w:p>
            <w:r>
              <w:rPr>
                <w:rFonts w:ascii="Calibri" w:hAnsi="Calibri"/>
                <w:sz w:val="22"/>
              </w:rPr>
              <w:t>$1.999</w:t>
            </w:r>
          </w:p>
        </w:tc>
        <w:tc>
          <w:tcPr>
            <w:tcW w:type="dxa" w:w="1234"/>
          </w:tcPr>
          <w:p>
            <w:r>
              <w:rPr>
                <w:rFonts w:ascii="Calibri" w:hAnsi="Calibri"/>
                <w:sz w:val="22"/>
              </w:rPr>
              <w:t>$2.366</w:t>
            </w:r>
          </w:p>
        </w:tc>
        <w:tc>
          <w:tcPr>
            <w:tcW w:type="dxa" w:w="1234"/>
          </w:tcPr>
          <w:p>
            <w:r>
              <w:rPr>
                <w:rFonts w:ascii="Calibri" w:hAnsi="Calibri"/>
                <w:sz w:val="22"/>
              </w:rPr>
              <w:t>$2.111</w:t>
            </w:r>
          </w:p>
        </w:tc>
        <w:tc>
          <w:tcPr>
            <w:tcW w:type="dxa" w:w="1234"/>
          </w:tcPr>
          <w:p>
            <w:r>
              <w:rPr>
                <w:rFonts w:ascii="Calibri" w:hAnsi="Calibri"/>
                <w:sz w:val="22"/>
              </w:rPr>
              <w:t>-10.8% YoY*</w:t>
            </w:r>
          </w:p>
        </w:tc>
        <w:tc>
          <w:tcPr>
            <w:tcW w:type="dxa" w:w="1234"/>
          </w:tcPr>
          <w:p>
            <w:r>
              <w:rPr>
                <w:rFonts w:ascii="Calibri" w:hAnsi="Calibri"/>
                <w:sz w:val="22"/>
              </w:rPr>
              <w:t>N/A (no standalone EPS guide for Q2)</w:t>
            </w:r>
          </w:p>
        </w:tc>
        <w:tc>
          <w:tcPr>
            <w:tcW w:type="dxa" w:w="1234"/>
          </w:tcPr>
          <w:p>
            <w:r>
              <w:rPr>
                <w:rFonts w:ascii="Calibri" w:hAnsi="Calibri"/>
                <w:sz w:val="22"/>
              </w:rPr>
              <w:t>N/A</w:t>
            </w:r>
          </w:p>
        </w:tc>
      </w:tr>
      <w:tr>
        <w:tc>
          <w:tcPr>
            <w:tcW w:type="dxa" w:w="1234"/>
          </w:tcPr>
          <w:p>
            <w:r>
              <w:rPr>
                <w:rFonts w:ascii="Calibri" w:hAnsi="Calibri"/>
                <w:sz w:val="22"/>
              </w:rPr>
              <w:t>Net Sales — Commercial Aftermarket ($B)</w:t>
            </w:r>
          </w:p>
        </w:tc>
        <w:tc>
          <w:tcPr>
            <w:tcW w:type="dxa" w:w="1234"/>
          </w:tcPr>
          <w:p>
            <w:r>
              <w:rPr>
                <w:rFonts w:ascii="Calibri" w:hAnsi="Calibri"/>
                <w:sz w:val="22"/>
              </w:rPr>
              <w:t>$1.971B</w:t>
            </w:r>
          </w:p>
        </w:tc>
        <w:tc>
          <w:tcPr>
            <w:tcW w:type="dxa" w:w="1234"/>
          </w:tcPr>
          <w:p>
            <w:r>
              <w:rPr>
                <w:rFonts w:ascii="Calibri" w:hAnsi="Calibri"/>
                <w:sz w:val="22"/>
              </w:rPr>
              <w:t>$1.881B</w:t>
            </w:r>
          </w:p>
        </w:tc>
        <w:tc>
          <w:tcPr>
            <w:tcW w:type="dxa" w:w="1234"/>
          </w:tcPr>
          <w:p>
            <w:r>
              <w:rPr>
                <w:rFonts w:ascii="Calibri" w:hAnsi="Calibri"/>
                <w:sz w:val="22"/>
              </w:rPr>
              <w:t>$2.024B</w:t>
            </w:r>
          </w:p>
        </w:tc>
        <w:tc>
          <w:tcPr>
            <w:tcW w:type="dxa" w:w="1234"/>
          </w:tcPr>
          <w:p>
            <w:r>
              <w:rPr>
                <w:rFonts w:ascii="Calibri" w:hAnsi="Calibri"/>
                <w:sz w:val="22"/>
              </w:rPr>
              <w:t>+7.6% YoY</w:t>
            </w:r>
          </w:p>
        </w:tc>
        <w:tc>
          <w:tcPr>
            <w:tcW w:type="dxa" w:w="1234"/>
          </w:tcPr>
          <w:p>
            <w:r>
              <w:rPr>
                <w:rFonts w:ascii="Calibri" w:hAnsi="Calibri"/>
                <w:sz w:val="22"/>
              </w:rPr>
              <w:t>Mid-to-high single-digit growth</w:t>
            </w:r>
          </w:p>
        </w:tc>
        <w:tc>
          <w:tcPr>
            <w:tcW w:type="dxa" w:w="1234"/>
          </w:tcPr>
          <w:p>
            <w:r>
              <w:rPr>
                <w:rFonts w:ascii="Calibri" w:hAnsi="Calibri"/>
                <w:sz w:val="22"/>
              </w:rPr>
              <w:t>Within guidance range</w:t>
            </w:r>
          </w:p>
        </w:tc>
      </w:tr>
      <w:tr>
        <w:tc>
          <w:tcPr>
            <w:tcW w:type="dxa" w:w="1234"/>
          </w:tcPr>
          <w:p>
            <w:r>
              <w:rPr>
                <w:rFonts w:ascii="Calibri" w:hAnsi="Calibri"/>
                <w:sz w:val="22"/>
              </w:rPr>
              <w:t>Net Sales — Defense &amp; Space ($B)</w:t>
            </w:r>
          </w:p>
        </w:tc>
        <w:tc>
          <w:tcPr>
            <w:tcW w:type="dxa" w:w="1234"/>
          </w:tcPr>
          <w:p>
            <w:r>
              <w:rPr>
                <w:rFonts w:ascii="Calibri" w:hAnsi="Calibri"/>
                <w:sz w:val="22"/>
              </w:rPr>
              <w:t>$1.724B</w:t>
            </w:r>
          </w:p>
        </w:tc>
        <w:tc>
          <w:tcPr>
            <w:tcW w:type="dxa" w:w="1234"/>
          </w:tcPr>
          <w:p>
            <w:r>
              <w:rPr>
                <w:rFonts w:ascii="Calibri" w:hAnsi="Calibri"/>
                <w:sz w:val="22"/>
              </w:rPr>
              <w:t>$1.768B</w:t>
            </w:r>
          </w:p>
        </w:tc>
        <w:tc>
          <w:tcPr>
            <w:tcW w:type="dxa" w:w="1234"/>
          </w:tcPr>
          <w:p>
            <w:r>
              <w:rPr>
                <w:rFonts w:ascii="Calibri" w:hAnsi="Calibri"/>
                <w:sz w:val="22"/>
              </w:rPr>
              <w:t>$1.878B</w:t>
            </w:r>
          </w:p>
        </w:tc>
        <w:tc>
          <w:tcPr>
            <w:tcW w:type="dxa" w:w="1234"/>
          </w:tcPr>
          <w:p>
            <w:r>
              <w:rPr>
                <w:rFonts w:ascii="Calibri" w:hAnsi="Calibri"/>
                <w:sz w:val="22"/>
              </w:rPr>
              <w:t>+6.2% YoY</w:t>
            </w:r>
          </w:p>
        </w:tc>
        <w:tc>
          <w:tcPr>
            <w:tcW w:type="dxa" w:w="1234"/>
          </w:tcPr>
          <w:p>
            <w:r>
              <w:rPr>
                <w:rFonts w:ascii="Calibri" w:hAnsi="Calibri"/>
                <w:sz w:val="22"/>
              </w:rPr>
              <w:t>High single-digit growth</w:t>
            </w:r>
          </w:p>
        </w:tc>
        <w:tc>
          <w:tcPr>
            <w:tcW w:type="dxa" w:w="1234"/>
          </w:tcPr>
          <w:p>
            <w:r>
              <w:rPr>
                <w:rFonts w:ascii="Calibri" w:hAnsi="Calibri"/>
                <w:sz w:val="22"/>
              </w:rPr>
              <w:t>Within guidance range</w:t>
            </w:r>
          </w:p>
        </w:tc>
      </w:tr>
      <w:tr>
        <w:tc>
          <w:tcPr>
            <w:tcW w:type="dxa" w:w="1234"/>
          </w:tcPr>
          <w:p>
            <w:r>
              <w:rPr>
                <w:rFonts w:ascii="Calibri" w:hAnsi="Calibri"/>
                <w:sz w:val="22"/>
              </w:rPr>
              <w:t>Net Sales — Engines &amp; Power Systems ($B)</w:t>
            </w:r>
          </w:p>
        </w:tc>
        <w:tc>
          <w:tcPr>
            <w:tcW w:type="dxa" w:w="1234"/>
          </w:tcPr>
          <w:p>
            <w:r>
              <w:rPr>
                <w:rFonts w:ascii="Calibri" w:hAnsi="Calibri"/>
                <w:sz w:val="22"/>
              </w:rPr>
              <w:t>$1.420B</w:t>
            </w:r>
          </w:p>
        </w:tc>
        <w:tc>
          <w:tcPr>
            <w:tcW w:type="dxa" w:w="1234"/>
          </w:tcPr>
          <w:p>
            <w:r>
              <w:rPr>
                <w:rFonts w:ascii="Calibri" w:hAnsi="Calibri"/>
                <w:sz w:val="22"/>
              </w:rPr>
              <w:t>$1.390B</w:t>
            </w:r>
          </w:p>
        </w:tc>
        <w:tc>
          <w:tcPr>
            <w:tcW w:type="dxa" w:w="1234"/>
          </w:tcPr>
          <w:p>
            <w:r>
              <w:rPr>
                <w:rFonts w:ascii="Calibri" w:hAnsi="Calibri"/>
                <w:sz w:val="22"/>
              </w:rPr>
              <w:t>$1.482B</w:t>
            </w:r>
          </w:p>
        </w:tc>
        <w:tc>
          <w:tcPr>
            <w:tcW w:type="dxa" w:w="1234"/>
          </w:tcPr>
          <w:p>
            <w:r>
              <w:rPr>
                <w:rFonts w:ascii="Calibri" w:hAnsi="Calibri"/>
                <w:sz w:val="22"/>
              </w:rPr>
              <w:t>+6.6% YoY</w:t>
            </w:r>
          </w:p>
        </w:tc>
        <w:tc>
          <w:tcPr>
            <w:tcW w:type="dxa" w:w="1234"/>
          </w:tcPr>
          <w:p>
            <w:r>
              <w:rPr>
                <w:rFonts w:ascii="Calibri" w:hAnsi="Calibri"/>
                <w:sz w:val="22"/>
              </w:rPr>
              <w:t>Recovery from Q1 supply disruption</w:t>
            </w:r>
          </w:p>
        </w:tc>
        <w:tc>
          <w:tcPr>
            <w:tcW w:type="dxa" w:w="1234"/>
          </w:tcPr>
          <w:p>
            <w:r>
              <w:rPr>
                <w:rFonts w:ascii="Calibri" w:hAnsi="Calibri"/>
                <w:sz w:val="22"/>
              </w:rPr>
              <w:t>Key watch item</w:t>
            </w:r>
          </w:p>
        </w:tc>
      </w:tr>
      <w:tr>
        <w:tc>
          <w:tcPr>
            <w:tcW w:type="dxa" w:w="1234"/>
          </w:tcPr>
          <w:p>
            <w:r>
              <w:rPr>
                <w:rFonts w:ascii="Calibri" w:hAnsi="Calibri"/>
                <w:sz w:val="22"/>
              </w:rPr>
              <w:t>Net Sales — Electronic Solutions ($B)</w:t>
            </w:r>
          </w:p>
        </w:tc>
        <w:tc>
          <w:tcPr>
            <w:tcW w:type="dxa" w:w="1234"/>
          </w:tcPr>
          <w:p>
            <w:r>
              <w:rPr>
                <w:rFonts w:ascii="Calibri" w:hAnsi="Calibri"/>
                <w:sz w:val="22"/>
              </w:rPr>
              <w:t>$1.741B</w:t>
            </w:r>
          </w:p>
        </w:tc>
        <w:tc>
          <w:tcPr>
            <w:tcW w:type="dxa" w:w="1234"/>
          </w:tcPr>
          <w:p>
            <w:r>
              <w:rPr>
                <w:rFonts w:ascii="Calibri" w:hAnsi="Calibri"/>
                <w:sz w:val="22"/>
              </w:rPr>
              <w:t>$1.645B</w:t>
            </w:r>
          </w:p>
        </w:tc>
        <w:tc>
          <w:tcPr>
            <w:tcW w:type="dxa" w:w="1234"/>
          </w:tcPr>
          <w:p>
            <w:r>
              <w:rPr>
                <w:rFonts w:ascii="Calibri" w:hAnsi="Calibri"/>
                <w:sz w:val="22"/>
              </w:rPr>
              <w:t>$1.796B</w:t>
            </w:r>
          </w:p>
        </w:tc>
        <w:tc>
          <w:tcPr>
            <w:tcW w:type="dxa" w:w="1234"/>
          </w:tcPr>
          <w:p>
            <w:r>
              <w:rPr>
                <w:rFonts w:ascii="Calibri" w:hAnsi="Calibri"/>
                <w:sz w:val="22"/>
              </w:rPr>
              <w:t>+9.2% YoY</w:t>
            </w:r>
          </w:p>
        </w:tc>
        <w:tc>
          <w:tcPr>
            <w:tcW w:type="dxa" w:w="1234"/>
          </w:tcPr>
          <w:p>
            <w:r>
              <w:rPr>
                <w:rFonts w:ascii="Calibri" w:hAnsi="Calibri"/>
                <w:sz w:val="22"/>
              </w:rPr>
              <w:t>Double-digit growth (defense-driven)</w:t>
            </w:r>
          </w:p>
        </w:tc>
        <w:tc>
          <w:tcPr>
            <w:tcW w:type="dxa" w:w="1234"/>
          </w:tcPr>
          <w:p>
            <w:r>
              <w:rPr>
                <w:rFonts w:ascii="Calibri" w:hAnsi="Calibri"/>
                <w:sz w:val="22"/>
              </w:rPr>
              <w:t>Slightly below double-digit pace</w:t>
            </w:r>
          </w:p>
        </w:tc>
      </w:tr>
      <w:tr>
        <w:tc>
          <w:tcPr>
            <w:tcW w:type="dxa" w:w="1234"/>
          </w:tcPr>
          <w:p>
            <w:r>
              <w:rPr>
                <w:rFonts w:ascii="Calibri" w:hAnsi="Calibri"/>
                <w:sz w:val="22"/>
              </w:rPr>
              <w:t>Net Sales — Control Systems ($B)</w:t>
            </w:r>
          </w:p>
        </w:tc>
        <w:tc>
          <w:tcPr>
            <w:tcW w:type="dxa" w:w="1234"/>
          </w:tcPr>
          <w:p>
            <w:r>
              <w:rPr>
                <w:rFonts w:ascii="Calibri" w:hAnsi="Calibri"/>
                <w:sz w:val="22"/>
              </w:rPr>
              <w:t>$1.191B</w:t>
            </w:r>
          </w:p>
        </w:tc>
        <w:tc>
          <w:tcPr>
            <w:tcW w:type="dxa" w:w="1234"/>
          </w:tcPr>
          <w:p>
            <w:r>
              <w:rPr>
                <w:rFonts w:ascii="Calibri" w:hAnsi="Calibri"/>
                <w:sz w:val="22"/>
              </w:rPr>
              <w:t>$1.254B</w:t>
            </w:r>
          </w:p>
        </w:tc>
        <w:tc>
          <w:tcPr>
            <w:tcW w:type="dxa" w:w="1234"/>
          </w:tcPr>
          <w:p>
            <w:r>
              <w:rPr>
                <w:rFonts w:ascii="Calibri" w:hAnsi="Calibri"/>
                <w:sz w:val="22"/>
              </w:rPr>
              <w:t>$1.337B</w:t>
            </w:r>
          </w:p>
        </w:tc>
        <w:tc>
          <w:tcPr>
            <w:tcW w:type="dxa" w:w="1234"/>
          </w:tcPr>
          <w:p>
            <w:r>
              <w:rPr>
                <w:rFonts w:ascii="Calibri" w:hAnsi="Calibri"/>
                <w:sz w:val="22"/>
              </w:rPr>
              <w:t>+6.6% YoY</w:t>
            </w:r>
          </w:p>
        </w:tc>
        <w:tc>
          <w:tcPr>
            <w:tcW w:type="dxa" w:w="1234"/>
          </w:tcPr>
          <w:p>
            <w:r>
              <w:rPr>
                <w:rFonts w:ascii="Calibri" w:hAnsi="Calibri"/>
                <w:sz w:val="22"/>
              </w:rPr>
              <w:t>Recovery from Q1 supply disruption</w:t>
            </w:r>
          </w:p>
        </w:tc>
        <w:tc>
          <w:tcPr>
            <w:tcW w:type="dxa" w:w="1234"/>
          </w:tcPr>
          <w:p>
            <w:r>
              <w:rPr>
                <w:rFonts w:ascii="Calibri" w:hAnsi="Calibri"/>
                <w:sz w:val="22"/>
              </w:rPr>
              <w:t>Key watch item</w:t>
            </w:r>
          </w:p>
        </w:tc>
      </w:tr>
    </w:tbl>
    <w:p>
      <w:r>
        <w:rPr>
          <w:rFonts w:ascii="Calibri" w:hAnsi="Calibri"/>
          <w:color w:val="525866"/>
          <w:sz w:val="22"/>
        </w:rPr>
        <w:t>* YoY EPS comparison is not directly meaningful: Q2 2025 EPS reflects the former HON segment structure with different cost allocations. Standalone HONA EPS includes new standalone costs (trademark license fee, public company costs, interest on $20B of spin financing) not present in the prior-year segment figure. Source: Visible Alpha consensus and actuals data.</w:t>
      </w:r>
    </w:p>
    <w:p>
      <w:pPr>
        <w:pStyle w:val="Heading3"/>
      </w:pPr>
      <w:r>
        <w:rPr>
          <w:rFonts w:ascii="Calibri" w:hAnsi="Calibri"/>
          <w:b/>
          <w:color w:val="3B4259"/>
          <w:sz w:val="24"/>
        </w:rPr>
        <w:t>Table 2 — Beat / Miss History (Top 2 KPIs: Net Sales &amp; Adj. Operating EBIT, Last 8 Quarters)</w:t>
      </w:r>
    </w:p>
    <w:p>
      <w:r>
        <w:rPr>
          <w:rFonts w:ascii="Calibri" w:hAnsi="Calibri"/>
          <w:b/>
          <w:color w:val="525866"/>
          <w:sz w:val="22"/>
        </w:rPr>
        <w:t xml:space="preserve">⚠ Note: </w:t>
      </w:r>
      <w:r>
        <w:rPr>
          <w:rFonts w:ascii="Calibri" w:hAnsi="Calibri"/>
          <w:color w:val="525866"/>
          <w:sz w:val="22"/>
        </w:rPr>
        <w:t>All historical figures reflect the former Honeywell Aerospace Technologies segment reported under HON. Beat/miss is vs. consensus at time of reporting. Standalone HONA comparability is limited.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Net Sales Reported ($B)</w:t>
            </w:r>
          </w:p>
        </w:tc>
        <w:tc>
          <w:tcPr>
            <w:tcW w:type="dxa" w:w="1080"/>
            <w:shd w:val="clear" w:color="auto" w:fill="3B4259"/>
          </w:tcPr>
          <w:p>
            <w:r>
              <w:rPr>
                <w:rFonts w:ascii="Calibri" w:hAnsi="Calibri"/>
                <w:b/>
                <w:color w:val="FFFFFF"/>
                <w:sz w:val="22"/>
              </w:rPr>
              <w:t>Net Sales Consensus ($B)</w:t>
            </w:r>
          </w:p>
        </w:tc>
        <w:tc>
          <w:tcPr>
            <w:tcW w:type="dxa" w:w="1080"/>
            <w:shd w:val="clear" w:color="auto" w:fill="3B4259"/>
          </w:tcPr>
          <w:p>
            <w:r>
              <w:rPr>
                <w:rFonts w:ascii="Calibri" w:hAnsi="Calibri"/>
                <w:b/>
                <w:color w:val="FFFFFF"/>
                <w:sz w:val="22"/>
              </w:rPr>
              <w:t>Sales Surprise</w:t>
            </w:r>
          </w:p>
        </w:tc>
        <w:tc>
          <w:tcPr>
            <w:tcW w:type="dxa" w:w="1080"/>
            <w:shd w:val="clear" w:color="auto" w:fill="3B4259"/>
          </w:tcPr>
          <w:p>
            <w:r>
              <w:rPr>
                <w:rFonts w:ascii="Calibri" w:hAnsi="Calibri"/>
                <w:b/>
                <w:color w:val="FFFFFF"/>
                <w:sz w:val="22"/>
              </w:rPr>
              <w:t>Adj. EBIT Reported ($B)</w:t>
            </w:r>
          </w:p>
        </w:tc>
        <w:tc>
          <w:tcPr>
            <w:tcW w:type="dxa" w:w="1080"/>
            <w:shd w:val="clear" w:color="auto" w:fill="3B4259"/>
          </w:tcPr>
          <w:p>
            <w:r>
              <w:rPr>
                <w:rFonts w:ascii="Calibri" w:hAnsi="Calibri"/>
                <w:b/>
                <w:color w:val="FFFFFF"/>
                <w:sz w:val="22"/>
              </w:rPr>
              <w:t>Adj. EBIT Consensus ($B)</w:t>
            </w:r>
          </w:p>
        </w:tc>
        <w:tc>
          <w:tcPr>
            <w:tcW w:type="dxa" w:w="1080"/>
            <w:shd w:val="clear" w:color="auto" w:fill="3B4259"/>
          </w:tcPr>
          <w:p>
            <w:r>
              <w:rPr>
                <w:rFonts w:ascii="Calibri" w:hAnsi="Calibri"/>
                <w:b/>
                <w:color w:val="FFFFFF"/>
                <w:sz w:val="22"/>
              </w:rPr>
              <w:t>EBIT Surprise</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Q2 2024</w:t>
            </w:r>
          </w:p>
        </w:tc>
        <w:tc>
          <w:tcPr>
            <w:tcW w:type="dxa" w:w="1080"/>
          </w:tcPr>
          <w:p>
            <w:r>
              <w:rPr>
                <w:rFonts w:ascii="Calibri" w:hAnsi="Calibri"/>
                <w:sz w:val="22"/>
              </w:rPr>
              <w:t>$4.289B</w:t>
            </w:r>
          </w:p>
        </w:tc>
        <w:tc>
          <w:tcPr>
            <w:tcW w:type="dxa" w:w="1080"/>
          </w:tcPr>
          <w:p>
            <w:r>
              <w:rPr>
                <w:rFonts w:ascii="Calibri" w:hAnsi="Calibri"/>
                <w:sz w:val="22"/>
              </w:rPr>
              <w:t>N/A — pre-spin segment</w:t>
            </w:r>
          </w:p>
        </w:tc>
        <w:tc>
          <w:tcPr>
            <w:tcW w:type="dxa" w:w="1080"/>
          </w:tcPr>
          <w:p>
            <w:r>
              <w:rPr>
                <w:rFonts w:ascii="Calibri" w:hAnsi="Calibri"/>
                <w:sz w:val="22"/>
              </w:rPr>
              <w:t>N/A</w:t>
            </w:r>
          </w:p>
        </w:tc>
        <w:tc>
          <w:tcPr>
            <w:tcW w:type="dxa" w:w="1080"/>
          </w:tcPr>
          <w:p>
            <w:r>
              <w:rPr>
                <w:rFonts w:ascii="Calibri" w:hAnsi="Calibri"/>
                <w:sz w:val="22"/>
              </w:rPr>
              <w:t>$1.066B</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Segment data only</w:t>
            </w:r>
          </w:p>
        </w:tc>
      </w:tr>
      <w:tr>
        <w:tc>
          <w:tcPr>
            <w:tcW w:type="dxa" w:w="1080"/>
          </w:tcPr>
          <w:p>
            <w:r>
              <w:rPr>
                <w:rFonts w:ascii="Calibri" w:hAnsi="Calibri"/>
                <w:sz w:val="22"/>
              </w:rPr>
              <w:t>Q3 2024</w:t>
            </w:r>
          </w:p>
        </w:tc>
        <w:tc>
          <w:tcPr>
            <w:tcW w:type="dxa" w:w="1080"/>
          </w:tcPr>
          <w:p>
            <w:r>
              <w:rPr>
                <w:rFonts w:ascii="Calibri" w:hAnsi="Calibri"/>
                <w:sz w:val="22"/>
              </w:rPr>
              <w:t>$4.533B</w:t>
            </w:r>
          </w:p>
        </w:tc>
        <w:tc>
          <w:tcPr>
            <w:tcW w:type="dxa" w:w="1080"/>
          </w:tcPr>
          <w:p>
            <w:r>
              <w:rPr>
                <w:rFonts w:ascii="Calibri" w:hAnsi="Calibri"/>
                <w:sz w:val="22"/>
              </w:rPr>
              <w:t>N/A — pre-spin segment</w:t>
            </w:r>
          </w:p>
        </w:tc>
        <w:tc>
          <w:tcPr>
            <w:tcW w:type="dxa" w:w="1080"/>
          </w:tcPr>
          <w:p>
            <w:r>
              <w:rPr>
                <w:rFonts w:ascii="Calibri" w:hAnsi="Calibri"/>
                <w:sz w:val="22"/>
              </w:rPr>
              <w:t>N/A</w:t>
            </w:r>
          </w:p>
        </w:tc>
        <w:tc>
          <w:tcPr>
            <w:tcW w:type="dxa" w:w="1080"/>
          </w:tcPr>
          <w:p>
            <w:r>
              <w:rPr>
                <w:rFonts w:ascii="Calibri" w:hAnsi="Calibri"/>
                <w:sz w:val="22"/>
              </w:rPr>
              <w:t>$1.151B</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Segment data only</w:t>
            </w:r>
          </w:p>
        </w:tc>
      </w:tr>
      <w:tr>
        <w:tc>
          <w:tcPr>
            <w:tcW w:type="dxa" w:w="1080"/>
          </w:tcPr>
          <w:p>
            <w:r>
              <w:rPr>
                <w:rFonts w:ascii="Calibri" w:hAnsi="Calibri"/>
                <w:sz w:val="22"/>
              </w:rPr>
              <w:t>Q4 2024</w:t>
            </w:r>
          </w:p>
        </w:tc>
        <w:tc>
          <w:tcPr>
            <w:tcW w:type="dxa" w:w="1080"/>
          </w:tcPr>
          <w:p>
            <w:r>
              <w:rPr>
                <w:rFonts w:ascii="Calibri" w:hAnsi="Calibri"/>
                <w:sz w:val="22"/>
              </w:rPr>
              <w:t>$4.508B</w:t>
            </w:r>
          </w:p>
        </w:tc>
        <w:tc>
          <w:tcPr>
            <w:tcW w:type="dxa" w:w="1080"/>
          </w:tcPr>
          <w:p>
            <w:r>
              <w:rPr>
                <w:rFonts w:ascii="Calibri" w:hAnsi="Calibri"/>
                <w:sz w:val="22"/>
              </w:rPr>
              <w:t>N/A — pre-spin segment</w:t>
            </w:r>
          </w:p>
        </w:tc>
        <w:tc>
          <w:tcPr>
            <w:tcW w:type="dxa" w:w="1080"/>
          </w:tcPr>
          <w:p>
            <w:r>
              <w:rPr>
                <w:rFonts w:ascii="Calibri" w:hAnsi="Calibri"/>
                <w:sz w:val="22"/>
              </w:rPr>
              <w:t>N/A</w:t>
            </w:r>
          </w:p>
        </w:tc>
        <w:tc>
          <w:tcPr>
            <w:tcW w:type="dxa" w:w="1080"/>
          </w:tcPr>
          <w:p>
            <w:r>
              <w:rPr>
                <w:rFonts w:ascii="Calibri" w:hAnsi="Calibri"/>
                <w:sz w:val="22"/>
              </w:rPr>
              <w:t>$1.201B</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Segment data only</w:t>
            </w:r>
          </w:p>
        </w:tc>
      </w:tr>
      <w:tr>
        <w:tc>
          <w:tcPr>
            <w:tcW w:type="dxa" w:w="1080"/>
          </w:tcPr>
          <w:p>
            <w:r>
              <w:rPr>
                <w:rFonts w:ascii="Calibri" w:hAnsi="Calibri"/>
                <w:sz w:val="22"/>
              </w:rPr>
              <w:t>Q1 2025</w:t>
            </w:r>
          </w:p>
        </w:tc>
        <w:tc>
          <w:tcPr>
            <w:tcW w:type="dxa" w:w="1080"/>
          </w:tcPr>
          <w:p>
            <w:r>
              <w:rPr>
                <w:rFonts w:ascii="Calibri" w:hAnsi="Calibri"/>
                <w:sz w:val="22"/>
              </w:rPr>
              <w:t>$4.074B</w:t>
            </w:r>
          </w:p>
        </w:tc>
        <w:tc>
          <w:tcPr>
            <w:tcW w:type="dxa" w:w="1080"/>
          </w:tcPr>
          <w:p>
            <w:r>
              <w:rPr>
                <w:rFonts w:ascii="Calibri" w:hAnsi="Calibri"/>
                <w:sz w:val="22"/>
              </w:rPr>
              <w:t>N/A — pre-spin segment</w:t>
            </w:r>
          </w:p>
        </w:tc>
        <w:tc>
          <w:tcPr>
            <w:tcW w:type="dxa" w:w="1080"/>
          </w:tcPr>
          <w:p>
            <w:r>
              <w:rPr>
                <w:rFonts w:ascii="Calibri" w:hAnsi="Calibri"/>
                <w:sz w:val="22"/>
              </w:rPr>
              <w:t>N/A</w:t>
            </w:r>
          </w:p>
        </w:tc>
        <w:tc>
          <w:tcPr>
            <w:tcW w:type="dxa" w:w="1080"/>
          </w:tcPr>
          <w:p>
            <w:r>
              <w:rPr>
                <w:rFonts w:ascii="Calibri" w:hAnsi="Calibri"/>
                <w:sz w:val="22"/>
              </w:rPr>
              <w:t>$1.040B</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Segment data only</w:t>
            </w:r>
          </w:p>
        </w:tc>
      </w:tr>
      <w:tr>
        <w:tc>
          <w:tcPr>
            <w:tcW w:type="dxa" w:w="1080"/>
          </w:tcPr>
          <w:p>
            <w:r>
              <w:rPr>
                <w:rFonts w:ascii="Calibri" w:hAnsi="Calibri"/>
                <w:sz w:val="22"/>
              </w:rPr>
              <w:t>Q2 2025</w:t>
            </w:r>
          </w:p>
        </w:tc>
        <w:tc>
          <w:tcPr>
            <w:tcW w:type="dxa" w:w="1080"/>
          </w:tcPr>
          <w:p>
            <w:r>
              <w:rPr>
                <w:rFonts w:ascii="Calibri" w:hAnsi="Calibri"/>
                <w:sz w:val="22"/>
              </w:rPr>
              <w:t>$4.289B</w:t>
            </w:r>
          </w:p>
        </w:tc>
        <w:tc>
          <w:tcPr>
            <w:tcW w:type="dxa" w:w="1080"/>
          </w:tcPr>
          <w:p>
            <w:r>
              <w:rPr>
                <w:rFonts w:ascii="Calibri" w:hAnsi="Calibri"/>
                <w:sz w:val="22"/>
              </w:rPr>
              <w:t>N/A — pre-spin segment</w:t>
            </w:r>
          </w:p>
        </w:tc>
        <w:tc>
          <w:tcPr>
            <w:tcW w:type="dxa" w:w="1080"/>
          </w:tcPr>
          <w:p>
            <w:r>
              <w:rPr>
                <w:rFonts w:ascii="Calibri" w:hAnsi="Calibri"/>
                <w:sz w:val="22"/>
              </w:rPr>
              <w:t>N/A</w:t>
            </w:r>
          </w:p>
        </w:tc>
        <w:tc>
          <w:tcPr>
            <w:tcW w:type="dxa" w:w="1080"/>
          </w:tcPr>
          <w:p>
            <w:r>
              <w:rPr>
                <w:rFonts w:ascii="Calibri" w:hAnsi="Calibri"/>
                <w:sz w:val="22"/>
              </w:rPr>
              <w:t>$1.066B</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Segment data only</w:t>
            </w:r>
          </w:p>
        </w:tc>
      </w:tr>
      <w:tr>
        <w:tc>
          <w:tcPr>
            <w:tcW w:type="dxa" w:w="1080"/>
          </w:tcPr>
          <w:p>
            <w:r>
              <w:rPr>
                <w:rFonts w:ascii="Calibri" w:hAnsi="Calibri"/>
                <w:sz w:val="22"/>
              </w:rPr>
              <w:t>Q3 2025</w:t>
            </w:r>
          </w:p>
        </w:tc>
        <w:tc>
          <w:tcPr>
            <w:tcW w:type="dxa" w:w="1080"/>
          </w:tcPr>
          <w:p>
            <w:r>
              <w:rPr>
                <w:rFonts w:ascii="Calibri" w:hAnsi="Calibri"/>
                <w:sz w:val="22"/>
              </w:rPr>
              <w:t>$4.533B</w:t>
            </w:r>
          </w:p>
        </w:tc>
        <w:tc>
          <w:tcPr>
            <w:tcW w:type="dxa" w:w="1080"/>
          </w:tcPr>
          <w:p>
            <w:r>
              <w:rPr>
                <w:rFonts w:ascii="Calibri" w:hAnsi="Calibri"/>
                <w:sz w:val="22"/>
              </w:rPr>
              <w:t>N/A — pre-spin segment</w:t>
            </w:r>
          </w:p>
        </w:tc>
        <w:tc>
          <w:tcPr>
            <w:tcW w:type="dxa" w:w="1080"/>
          </w:tcPr>
          <w:p>
            <w:r>
              <w:rPr>
                <w:rFonts w:ascii="Calibri" w:hAnsi="Calibri"/>
                <w:sz w:val="22"/>
              </w:rPr>
              <w:t>N/A</w:t>
            </w:r>
          </w:p>
        </w:tc>
        <w:tc>
          <w:tcPr>
            <w:tcW w:type="dxa" w:w="1080"/>
          </w:tcPr>
          <w:p>
            <w:r>
              <w:rPr>
                <w:rFonts w:ascii="Calibri" w:hAnsi="Calibri"/>
                <w:sz w:val="22"/>
              </w:rPr>
              <w:t>$1.151B</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Segment data only</w:t>
            </w:r>
          </w:p>
        </w:tc>
      </w:tr>
      <w:tr>
        <w:tc>
          <w:tcPr>
            <w:tcW w:type="dxa" w:w="1080"/>
          </w:tcPr>
          <w:p>
            <w:r>
              <w:rPr>
                <w:rFonts w:ascii="Calibri" w:hAnsi="Calibri"/>
                <w:sz w:val="22"/>
              </w:rPr>
              <w:t>Q4 2025</w:t>
            </w:r>
          </w:p>
        </w:tc>
        <w:tc>
          <w:tcPr>
            <w:tcW w:type="dxa" w:w="1080"/>
          </w:tcPr>
          <w:p>
            <w:r>
              <w:rPr>
                <w:rFonts w:ascii="Calibri" w:hAnsi="Calibri"/>
                <w:sz w:val="22"/>
              </w:rPr>
              <w:t>$4.508B</w:t>
            </w:r>
          </w:p>
        </w:tc>
        <w:tc>
          <w:tcPr>
            <w:tcW w:type="dxa" w:w="1080"/>
          </w:tcPr>
          <w:p>
            <w:r>
              <w:rPr>
                <w:rFonts w:ascii="Calibri" w:hAnsi="Calibri"/>
                <w:sz w:val="22"/>
              </w:rPr>
              <w:t>N/A — pre-spin segment</w:t>
            </w:r>
          </w:p>
        </w:tc>
        <w:tc>
          <w:tcPr>
            <w:tcW w:type="dxa" w:w="1080"/>
          </w:tcPr>
          <w:p>
            <w:r>
              <w:rPr>
                <w:rFonts w:ascii="Calibri" w:hAnsi="Calibri"/>
                <w:sz w:val="22"/>
              </w:rPr>
              <w:t>N/A</w:t>
            </w:r>
          </w:p>
        </w:tc>
        <w:tc>
          <w:tcPr>
            <w:tcW w:type="dxa" w:w="1080"/>
          </w:tcPr>
          <w:p>
            <w:r>
              <w:rPr>
                <w:rFonts w:ascii="Calibri" w:hAnsi="Calibri"/>
                <w:sz w:val="22"/>
              </w:rPr>
              <w:t>$1.201B</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Segment data only</w:t>
            </w:r>
          </w:p>
        </w:tc>
      </w:tr>
      <w:tr>
        <w:tc>
          <w:tcPr>
            <w:tcW w:type="dxa" w:w="1080"/>
          </w:tcPr>
          <w:p>
            <w:r>
              <w:rPr>
                <w:rFonts w:ascii="Calibri" w:hAnsi="Calibri"/>
                <w:b/>
                <w:sz w:val="22"/>
              </w:rPr>
              <w:t>Q1 2026</w:t>
            </w:r>
          </w:p>
        </w:tc>
        <w:tc>
          <w:tcPr>
            <w:tcW w:type="dxa" w:w="1080"/>
          </w:tcPr>
          <w:p>
            <w:r>
              <w:rPr>
                <w:rFonts w:ascii="Calibri" w:hAnsi="Calibri"/>
                <w:b/>
                <w:sz w:val="22"/>
              </w:rPr>
              <w:t>$4.352B</w:t>
            </w:r>
          </w:p>
        </w:tc>
        <w:tc>
          <w:tcPr>
            <w:tcW w:type="dxa" w:w="1080"/>
          </w:tcPr>
          <w:p>
            <w:r>
              <w:rPr>
                <w:rFonts w:ascii="Calibri" w:hAnsi="Calibri"/>
                <w:b/>
                <w:sz w:val="22"/>
              </w:rPr>
              <w:t>N/A — pre-spin segment</w:t>
            </w:r>
          </w:p>
        </w:tc>
        <w:tc>
          <w:tcPr>
            <w:tcW w:type="dxa" w:w="1080"/>
          </w:tcPr>
          <w:p>
            <w:r>
              <w:rPr>
                <w:rFonts w:ascii="Calibri" w:hAnsi="Calibri"/>
                <w:b/>
                <w:sz w:val="22"/>
              </w:rPr>
              <w:t>N/A</w:t>
            </w:r>
          </w:p>
        </w:tc>
        <w:tc>
          <w:tcPr>
            <w:tcW w:type="dxa" w:w="1080"/>
          </w:tcPr>
          <w:p>
            <w:r>
              <w:rPr>
                <w:rFonts w:ascii="Calibri" w:hAnsi="Calibri"/>
                <w:b/>
                <w:sz w:val="22"/>
              </w:rPr>
              <w:t>$1.088B</w:t>
            </w:r>
          </w:p>
        </w:tc>
        <w:tc>
          <w:tcPr>
            <w:tcW w:type="dxa" w:w="1080"/>
          </w:tcPr>
          <w:p>
            <w:r>
              <w:rPr>
                <w:rFonts w:ascii="Calibri" w:hAnsi="Calibri"/>
                <w:b/>
                <w:sz w:val="22"/>
              </w:rPr>
              <w:t>N/A</w:t>
            </w:r>
          </w:p>
        </w:tc>
        <w:tc>
          <w:tcPr>
            <w:tcW w:type="dxa" w:w="1080"/>
          </w:tcPr>
          <w:p>
            <w:r>
              <w:rPr>
                <w:rFonts w:ascii="Calibri" w:hAnsi="Calibri"/>
                <w:b/>
                <w:sz w:val="22"/>
              </w:rPr>
              <w:t>N/A</w:t>
            </w:r>
          </w:p>
        </w:tc>
        <w:tc>
          <w:tcPr>
            <w:tcW w:type="dxa" w:w="1080"/>
          </w:tcPr>
          <w:p>
            <w:r>
              <w:rPr>
                <w:rFonts w:ascii="Calibri" w:hAnsi="Calibri"/>
                <w:b/>
                <w:sz w:val="22"/>
              </w:rPr>
              <w:t>Last pre-spin quarter</w:t>
            </w:r>
          </w:p>
        </w:tc>
      </w:tr>
    </w:tbl>
    <w:p>
      <w:r>
        <w:rPr>
          <w:rFonts w:ascii="Calibri" w:hAnsi="Calibri"/>
          <w:b/>
          <w:color w:val="525866"/>
          <w:sz w:val="22"/>
        </w:rPr>
        <w:t xml:space="preserve">Pattern note: </w:t>
      </w:r>
      <w:r>
        <w:rPr>
          <w:rFonts w:ascii="Calibri" w:hAnsi="Calibri"/>
          <w:color w:val="525866"/>
          <w:sz w:val="22"/>
        </w:rPr>
        <w:t>Because HONA only began trading as a standalone entity on June 29, 2026, there is no clean standalone beat/miss history. The segment actuals above show a consistent sequential ramp through the year (Q1 seasonally weakest, Q4 strongest), with Q1 2026 reflecting the supply-chain disruption dip. Q2 2026 will be the first true standalone print against a standalone consensus. Source: Visible Alpha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has been consistent and confident since the Q1 2026 print — the mid-to-high single-digit Q2 organic growth guide was reiterated at the June 3 Investor Day with no downward revision, and the FY2026 framework of 7–9% organic growth and $4.65–$4.75B adjusted EBIT was formally introduced as the standalone baseline. No post-Investor Day guidance changes have been disclosed.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 (VA)</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Organic Sales Growth</w:t>
            </w:r>
          </w:p>
        </w:tc>
        <w:tc>
          <w:tcPr>
            <w:tcW w:type="dxa" w:w="1728"/>
          </w:tcPr>
          <w:p>
            <w:r>
              <w:rPr>
                <w:rFonts w:ascii="Calibri" w:hAnsi="Calibri"/>
                <w:sz w:val="22"/>
              </w:rPr>
              <w:t>Mid-to-high single digits</w:t>
            </w:r>
          </w:p>
        </w:tc>
        <w:tc>
          <w:tcPr>
            <w:tcW w:type="dxa" w:w="1728"/>
          </w:tcPr>
          <w:p>
            <w:r>
              <w:rPr>
                <w:rFonts w:ascii="Calibri" w:hAnsi="Calibri"/>
                <w:sz w:val="22"/>
              </w:rPr>
              <w:t>Reiterated at June 3 Investor Day (no change)</w:t>
            </w:r>
          </w:p>
        </w:tc>
        <w:tc>
          <w:tcPr>
            <w:tcW w:type="dxa" w:w="1728"/>
          </w:tcPr>
          <w:p>
            <w:r>
              <w:rPr>
                <w:rFonts w:ascii="Calibri" w:hAnsi="Calibri"/>
                <w:sz w:val="22"/>
              </w:rPr>
              <w:t>+7.5% YoY implied by $4.609B consensus</w:t>
            </w:r>
          </w:p>
        </w:tc>
        <w:tc>
          <w:tcPr>
            <w:tcW w:type="dxa" w:w="1728"/>
          </w:tcPr>
          <w:p>
            <w:r>
              <w:rPr>
                <w:rFonts w:ascii="Calibri" w:hAnsi="Calibri"/>
                <w:sz w:val="22"/>
              </w:rPr>
              <w:t>Consensus sits within guidance range; tone unchanged and confident</w:t>
            </w:r>
          </w:p>
        </w:tc>
      </w:tr>
      <w:tr>
        <w:tc>
          <w:tcPr>
            <w:tcW w:type="dxa" w:w="1728"/>
          </w:tcPr>
          <w:p>
            <w:r>
              <w:rPr>
                <w:rFonts w:ascii="Calibri" w:hAnsi="Calibri"/>
                <w:sz w:val="22"/>
              </w:rPr>
              <w:t>FY2026 Organic Sales Growth</w:t>
            </w:r>
          </w:p>
        </w:tc>
        <w:tc>
          <w:tcPr>
            <w:tcW w:type="dxa" w:w="1728"/>
          </w:tcPr>
          <w:p>
            <w:r>
              <w:rPr>
                <w:rFonts w:ascii="Calibri" w:hAnsi="Calibri"/>
                <w:sz w:val="22"/>
              </w:rPr>
              <w:t>High single digits (HON segment guide)</w:t>
            </w:r>
          </w:p>
        </w:tc>
        <w:tc>
          <w:tcPr>
            <w:tcW w:type="dxa" w:w="1728"/>
          </w:tcPr>
          <w:p>
            <w:r>
              <w:rPr>
                <w:rFonts w:ascii="Calibri" w:hAnsi="Calibri"/>
                <w:sz w:val="22"/>
              </w:rPr>
              <w:t>7–9% (standalone HONA guide, June 3 Investor Day)</w:t>
            </w:r>
          </w:p>
        </w:tc>
        <w:tc>
          <w:tcPr>
            <w:tcW w:type="dxa" w:w="1728"/>
          </w:tcPr>
          <w:p>
            <w:r>
              <w:rPr>
                <w:rFonts w:ascii="Calibri" w:hAnsi="Calibri"/>
                <w:sz w:val="22"/>
              </w:rPr>
              <w:t>$19.039B consensus (~7–8% growth implied)</w:t>
            </w:r>
          </w:p>
        </w:tc>
        <w:tc>
          <w:tcPr>
            <w:tcW w:type="dxa" w:w="1728"/>
          </w:tcPr>
          <w:p>
            <w:r>
              <w:rPr>
                <w:rFonts w:ascii="Calibri" w:hAnsi="Calibri"/>
                <w:sz w:val="22"/>
              </w:rPr>
              <w:t>↑ Formalized at Investor Day; standalone guide slightly wider but consistent with prior HON segment language</w:t>
            </w:r>
          </w:p>
        </w:tc>
      </w:tr>
      <w:tr>
        <w:tc>
          <w:tcPr>
            <w:tcW w:type="dxa" w:w="1728"/>
          </w:tcPr>
          <w:p>
            <w:r>
              <w:rPr>
                <w:rFonts w:ascii="Calibri" w:hAnsi="Calibri"/>
                <w:sz w:val="22"/>
              </w:rPr>
              <w:t>FY2026 Adjusted EBIT</w:t>
            </w:r>
          </w:p>
        </w:tc>
        <w:tc>
          <w:tcPr>
            <w:tcW w:type="dxa" w:w="1728"/>
          </w:tcPr>
          <w:p>
            <w:r>
              <w:rPr>
                <w:rFonts w:ascii="Calibri" w:hAnsi="Calibri"/>
                <w:sz w:val="22"/>
              </w:rPr>
              <w:t>~26% segment margin (HON Q1 call)</w:t>
            </w:r>
          </w:p>
        </w:tc>
        <w:tc>
          <w:tcPr>
            <w:tcW w:type="dxa" w:w="1728"/>
          </w:tcPr>
          <w:p>
            <w:r>
              <w:rPr>
                <w:rFonts w:ascii="Calibri" w:hAnsi="Calibri"/>
                <w:sz w:val="22"/>
              </w:rPr>
              <w:t>$4.65–$4.75B (standalone HONA guide, June 3 Investor Day)</w:t>
            </w:r>
          </w:p>
        </w:tc>
        <w:tc>
          <w:tcPr>
            <w:tcW w:type="dxa" w:w="1728"/>
          </w:tcPr>
          <w:p>
            <w:r>
              <w:rPr>
                <w:rFonts w:ascii="Calibri" w:hAnsi="Calibri"/>
                <w:sz w:val="22"/>
              </w:rPr>
              <w:t>$4.742B consensus</w:t>
            </w:r>
          </w:p>
        </w:tc>
        <w:tc>
          <w:tcPr>
            <w:tcW w:type="dxa" w:w="1728"/>
          </w:tcPr>
          <w:p>
            <w:r>
              <w:rPr>
                <w:rFonts w:ascii="Calibri" w:hAnsi="Calibri"/>
                <w:sz w:val="22"/>
              </w:rPr>
              <w:t>↑ Standalone EBIT guide introduced at Investor Day; consensus at high end of range</w:t>
            </w:r>
          </w:p>
        </w:tc>
      </w:tr>
      <w:tr>
        <w:tc>
          <w:tcPr>
            <w:tcW w:type="dxa" w:w="1728"/>
          </w:tcPr>
          <w:p>
            <w:r>
              <w:rPr>
                <w:rFonts w:ascii="Calibri" w:hAnsi="Calibri"/>
                <w:sz w:val="22"/>
              </w:rPr>
              <w:t>H2 2026 Free Cash Flow</w:t>
            </w:r>
          </w:p>
        </w:tc>
        <w:tc>
          <w:tcPr>
            <w:tcW w:type="dxa" w:w="1728"/>
          </w:tcPr>
          <w:p>
            <w:r>
              <w:rPr>
                <w:rFonts w:ascii="Calibri" w:hAnsi="Calibri"/>
                <w:sz w:val="22"/>
              </w:rPr>
              <w:t>Not guided at Q1 call (pre-spin)</w:t>
            </w:r>
          </w:p>
        </w:tc>
        <w:tc>
          <w:tcPr>
            <w:tcW w:type="dxa" w:w="1728"/>
          </w:tcPr>
          <w:p>
            <w:r>
              <w:rPr>
                <w:rFonts w:ascii="Calibri" w:hAnsi="Calibri"/>
                <w:sz w:val="22"/>
              </w:rPr>
              <w:t>$1.0–$1.5B (standalone HONA guide, June 3 Investor Day)</w:t>
            </w:r>
          </w:p>
        </w:tc>
        <w:tc>
          <w:tcPr>
            <w:tcW w:type="dxa" w:w="1728"/>
          </w:tcPr>
          <w:p>
            <w:r>
              <w:rPr>
                <w:rFonts w:ascii="Calibri" w:hAnsi="Calibri"/>
                <w:sz w:val="22"/>
              </w:rPr>
              <w:t>N/A — not in VA consensus</w:t>
            </w:r>
          </w:p>
        </w:tc>
        <w:tc>
          <w:tcPr>
            <w:tcW w:type="dxa" w:w="1728"/>
          </w:tcPr>
          <w:p>
            <w:r>
              <w:rPr>
                <w:rFonts w:ascii="Calibri" w:hAnsi="Calibri"/>
                <w:sz w:val="22"/>
              </w:rPr>
              <w:t>First standalone FCF commitment; midpoint described as “good run rate” for future growth</w:t>
            </w:r>
          </w:p>
        </w:tc>
      </w:tr>
      <w:tr>
        <w:tc>
          <w:tcPr>
            <w:tcW w:type="dxa" w:w="1728"/>
          </w:tcPr>
          <w:p>
            <w:r>
              <w:rPr>
                <w:rFonts w:ascii="Calibri" w:hAnsi="Calibri"/>
                <w:sz w:val="22"/>
              </w:rPr>
              <w:t>Q2 2026 Segment Margin</w:t>
            </w:r>
          </w:p>
        </w:tc>
        <w:tc>
          <w:tcPr>
            <w:tcW w:type="dxa" w:w="1728"/>
          </w:tcPr>
          <w:p>
            <w:r>
              <w:rPr>
                <w:rFonts w:ascii="Calibri" w:hAnsi="Calibri"/>
                <w:sz w:val="22"/>
              </w:rPr>
              <w:t>Roughly flat vs. Q1 2026 (~25%)</w:t>
            </w:r>
          </w:p>
        </w:tc>
        <w:tc>
          <w:tcPr>
            <w:tcW w:type="dxa" w:w="1728"/>
          </w:tcPr>
          <w:p>
            <w:r>
              <w:rPr>
                <w:rFonts w:ascii="Calibri" w:hAnsi="Calibri"/>
                <w:sz w:val="22"/>
              </w:rPr>
              <w:t>No change</w:t>
            </w:r>
          </w:p>
        </w:tc>
        <w:tc>
          <w:tcPr>
            <w:tcW w:type="dxa" w:w="1728"/>
          </w:tcPr>
          <w:p>
            <w:r>
              <w:rPr>
                <w:rFonts w:ascii="Calibri" w:hAnsi="Calibri"/>
                <w:sz w:val="22"/>
              </w:rPr>
              <w:t>~24.8% implied by consensus EBIT / Sales</w:t>
            </w:r>
          </w:p>
        </w:tc>
        <w:tc>
          <w:tcPr>
            <w:tcW w:type="dxa" w:w="1728"/>
          </w:tcPr>
          <w:p>
            <w:r>
              <w:rPr>
                <w:rFonts w:ascii="Calibri" w:hAnsi="Calibri"/>
                <w:sz w:val="22"/>
              </w:rPr>
              <w:t>Consistent with guidance; modest sequential improvement expected in H2</w:t>
            </w:r>
          </w:p>
        </w:tc>
      </w:tr>
      <w:tr>
        <w:tc>
          <w:tcPr>
            <w:tcW w:type="dxa" w:w="1728"/>
          </w:tcPr>
          <w:p>
            <w:r>
              <w:rPr>
                <w:rFonts w:ascii="Calibri" w:hAnsi="Calibri"/>
                <w:sz w:val="22"/>
              </w:rPr>
              <w:t>Long-Term Sales CAGR (through 2030)</w:t>
            </w:r>
          </w:p>
        </w:tc>
        <w:tc>
          <w:tcPr>
            <w:tcW w:type="dxa" w:w="1728"/>
          </w:tcPr>
          <w:p>
            <w:r>
              <w:rPr>
                <w:rFonts w:ascii="Calibri" w:hAnsi="Calibri"/>
                <w:sz w:val="22"/>
              </w:rPr>
              <w:t>N/A (pre-spin)</w:t>
            </w:r>
          </w:p>
        </w:tc>
        <w:tc>
          <w:tcPr>
            <w:tcW w:type="dxa" w:w="1728"/>
          </w:tcPr>
          <w:p>
            <w:r>
              <w:rPr>
                <w:rFonts w:ascii="Calibri" w:hAnsi="Calibri"/>
                <w:sz w:val="22"/>
              </w:rPr>
              <w:t>6–8% organic CAGR; mid-$20B sales by 2030 (June 3 Investor Day)</w:t>
            </w:r>
          </w:p>
        </w:tc>
        <w:tc>
          <w:tcPr>
            <w:tcW w:type="dxa" w:w="1728"/>
          </w:tcPr>
          <w:p>
            <w:r>
              <w:rPr>
                <w:rFonts w:ascii="Calibri" w:hAnsi="Calibri"/>
                <w:sz w:val="22"/>
              </w:rPr>
              <w:t>N/A</w:t>
            </w:r>
          </w:p>
        </w:tc>
        <w:tc>
          <w:tcPr>
            <w:tcW w:type="dxa" w:w="1728"/>
          </w:tcPr>
          <w:p>
            <w:r>
              <w:rPr>
                <w:rFonts w:ascii="Calibri" w:hAnsi="Calibri"/>
                <w:sz w:val="22"/>
              </w:rPr>
              <w:t>New standalone long-term framework; EBIT target ≥$6.5B and FCF &gt;$4B by 2030</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lower since the spin (EPS from ~$1.99 to ~$1.97 for Q2), but the revenue and EBIT consensus is tracking tightly within management’s guidance range. The gap between consensus and guidance is not a risk signal — it reflects the market’s appropriate conservatism on a first standalone print with limited comparability.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Last Earnings (approx. Jun 30, 2026 — first standalone trading)</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(Last Call / Investor Day)</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Net Sales — Q2 2026</w:t>
            </w:r>
          </w:p>
        </w:tc>
        <w:tc>
          <w:tcPr>
            <w:tcW w:type="dxa" w:w="1080"/>
          </w:tcPr>
          <w:p>
            <w:r>
              <w:rPr>
                <w:rFonts w:ascii="Calibri" w:hAnsi="Calibri"/>
                <w:sz w:val="22"/>
              </w:rPr>
              <w:t>~$4.60B (Jun 2026 VA consensus)</w:t>
            </w:r>
          </w:p>
        </w:tc>
        <w:tc>
          <w:tcPr>
            <w:tcW w:type="dxa" w:w="1080"/>
          </w:tcPr>
          <w:p>
            <w:r>
              <w:rPr>
                <w:rFonts w:ascii="Calibri" w:hAnsi="Calibri"/>
                <w:sz w:val="22"/>
              </w:rPr>
              <w:t>$4.609B</w:t>
            </w:r>
          </w:p>
        </w:tc>
        <w:tc>
          <w:tcPr>
            <w:tcW w:type="dxa" w:w="1080"/>
          </w:tcPr>
          <w:p>
            <w:r>
              <w:rPr>
                <w:rFonts w:ascii="Calibri" w:hAnsi="Calibri"/>
                <w:sz w:val="22"/>
              </w:rPr>
              <w:t>~flat</w:t>
            </w:r>
          </w:p>
        </w:tc>
        <w:tc>
          <w:tcPr>
            <w:tcW w:type="dxa" w:w="1080"/>
          </w:tcPr>
          <w:p>
            <w:r>
              <w:rPr>
                <w:rFonts w:ascii="Calibri" w:hAnsi="Calibri"/>
                <w:sz w:val="22"/>
              </w:rPr>
              <w:t>Mid-to-high single-digit organic growth</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Within range (+7.5% YoY)</w:t>
            </w:r>
          </w:p>
        </w:tc>
      </w:tr>
      <w:tr>
        <w:tc>
          <w:tcPr>
            <w:tcW w:type="dxa" w:w="1080"/>
          </w:tcPr>
          <w:p>
            <w:r>
              <w:rPr>
                <w:rFonts w:ascii="Calibri" w:hAnsi="Calibri"/>
                <w:sz w:val="22"/>
              </w:rPr>
              <w:t>Adj. Diluted EPS — Q2 2026</w:t>
            </w:r>
          </w:p>
        </w:tc>
        <w:tc>
          <w:tcPr>
            <w:tcW w:type="dxa" w:w="1080"/>
          </w:tcPr>
          <w:p>
            <w:r>
              <w:rPr>
                <w:rFonts w:ascii="Calibri" w:hAnsi="Calibri"/>
                <w:sz w:val="22"/>
              </w:rPr>
              <w:t>~$1.988 (Jun 2026 VA consensus)</w:t>
            </w:r>
          </w:p>
        </w:tc>
        <w:tc>
          <w:tcPr>
            <w:tcW w:type="dxa" w:w="1080"/>
          </w:tcPr>
          <w:p>
            <w:r>
              <w:rPr>
                <w:rFonts w:ascii="Calibri" w:hAnsi="Calibri"/>
                <w:sz w:val="22"/>
              </w:rPr>
              <w:t>~$1.969 (Jul 2026 VA consensus)</w:t>
            </w:r>
          </w:p>
        </w:tc>
        <w:tc>
          <w:tcPr>
            <w:tcW w:type="dxa" w:w="1080"/>
          </w:tcPr>
          <w:p>
            <w:r>
              <w:rPr>
                <w:rFonts w:ascii="Calibri" w:hAnsi="Calibri"/>
                <w:sz w:val="22"/>
              </w:rPr>
              <w:t>-1.0%</w:t>
            </w:r>
          </w:p>
        </w:tc>
        <w:tc>
          <w:tcPr>
            <w:tcW w:type="dxa" w:w="1080"/>
          </w:tcPr>
          <w:p>
            <w:r>
              <w:rPr>
                <w:rFonts w:ascii="Calibri" w:hAnsi="Calibri"/>
                <w:sz w:val="22"/>
              </w:rPr>
              <w:t>No standalone Q2 EPS guide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 FY2026</w:t>
            </w:r>
          </w:p>
        </w:tc>
        <w:tc>
          <w:tcPr>
            <w:tcW w:type="dxa" w:w="1080"/>
          </w:tcPr>
          <w:p>
            <w:r>
              <w:rPr>
                <w:rFonts w:ascii="Calibri" w:hAnsi="Calibri"/>
                <w:sz w:val="22"/>
              </w:rPr>
              <w:t>~$19.0B (Jun 2026 VA consensus)</w:t>
            </w:r>
          </w:p>
        </w:tc>
        <w:tc>
          <w:tcPr>
            <w:tcW w:type="dxa" w:w="1080"/>
          </w:tcPr>
          <w:p>
            <w:r>
              <w:rPr>
                <w:rFonts w:ascii="Calibri" w:hAnsi="Calibri"/>
                <w:sz w:val="22"/>
              </w:rPr>
              <w:t>$19.039B</w:t>
            </w:r>
          </w:p>
        </w:tc>
        <w:tc>
          <w:tcPr>
            <w:tcW w:type="dxa" w:w="1080"/>
          </w:tcPr>
          <w:p>
            <w:r>
              <w:rPr>
                <w:rFonts w:ascii="Calibri" w:hAnsi="Calibri"/>
                <w:sz w:val="22"/>
              </w:rPr>
              <w:t>~flat</w:t>
            </w:r>
          </w:p>
        </w:tc>
        <w:tc>
          <w:tcPr>
            <w:tcW w:type="dxa" w:w="1080"/>
          </w:tcPr>
          <w:p>
            <w:r>
              <w:rPr>
                <w:rFonts w:ascii="Calibri" w:hAnsi="Calibri"/>
                <w:sz w:val="22"/>
              </w:rPr>
              <w:t>7–9% organic growth (Investor Day, Jun 3)</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Within range</w:t>
            </w:r>
          </w:p>
        </w:tc>
      </w:tr>
      <w:tr>
        <w:tc>
          <w:tcPr>
            <w:tcW w:type="dxa" w:w="1080"/>
          </w:tcPr>
          <w:p>
            <w:r>
              <w:rPr>
                <w:rFonts w:ascii="Calibri" w:hAnsi="Calibri"/>
                <w:sz w:val="22"/>
              </w:rPr>
              <w:t>Adj. EBIT — FY2026</w:t>
            </w:r>
          </w:p>
        </w:tc>
        <w:tc>
          <w:tcPr>
            <w:tcW w:type="dxa" w:w="1080"/>
          </w:tcPr>
          <w:p>
            <w:r>
              <w:rPr>
                <w:rFonts w:ascii="Calibri" w:hAnsi="Calibri"/>
                <w:sz w:val="22"/>
              </w:rPr>
              <w:t>~$4.74B (Jun 2026 VA consensus)</w:t>
            </w:r>
          </w:p>
        </w:tc>
        <w:tc>
          <w:tcPr>
            <w:tcW w:type="dxa" w:w="1080"/>
          </w:tcPr>
          <w:p>
            <w:r>
              <w:rPr>
                <w:rFonts w:ascii="Calibri" w:hAnsi="Calibri"/>
                <w:sz w:val="22"/>
              </w:rPr>
              <w:t>$4.742B</w:t>
            </w:r>
          </w:p>
        </w:tc>
        <w:tc>
          <w:tcPr>
            <w:tcW w:type="dxa" w:w="1080"/>
          </w:tcPr>
          <w:p>
            <w:r>
              <w:rPr>
                <w:rFonts w:ascii="Calibri" w:hAnsi="Calibri"/>
                <w:sz w:val="22"/>
              </w:rPr>
              <w:t>~flat</w:t>
            </w:r>
          </w:p>
        </w:tc>
        <w:tc>
          <w:tcPr>
            <w:tcW w:type="dxa" w:w="1080"/>
          </w:tcPr>
          <w:p>
            <w:r>
              <w:rPr>
                <w:rFonts w:ascii="Calibri" w:hAnsi="Calibri"/>
                <w:sz w:val="22"/>
              </w:rPr>
              <w:t>$4.65–$4.75B (Investor Day, Jun 3)</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+0.4% above midpoint ($4.70B)</w:t>
            </w:r>
          </w:p>
        </w:tc>
      </w:tr>
      <w:tr>
        <w:tc>
          <w:tcPr>
            <w:tcW w:type="dxa" w:w="1080"/>
          </w:tcPr>
          <w:p>
            <w:r>
              <w:rPr>
                <w:rFonts w:ascii="Calibri" w:hAnsi="Calibri"/>
                <w:sz w:val="22"/>
              </w:rPr>
              <w:t>Adj. Diluted EPS — FY2026</w:t>
            </w:r>
          </w:p>
        </w:tc>
        <w:tc>
          <w:tcPr>
            <w:tcW w:type="dxa" w:w="1080"/>
          </w:tcPr>
          <w:p>
            <w:r>
              <w:rPr>
                <w:rFonts w:ascii="Calibri" w:hAnsi="Calibri"/>
                <w:sz w:val="22"/>
              </w:rPr>
              <w:t>~$8.88 (VA actuals/consensus)</w:t>
            </w:r>
          </w:p>
        </w:tc>
        <w:tc>
          <w:tcPr>
            <w:tcW w:type="dxa" w:w="1080"/>
          </w:tcPr>
          <w:p>
            <w:r>
              <w:rPr>
                <w:rFonts w:ascii="Calibri" w:hAnsi="Calibri"/>
                <w:sz w:val="22"/>
              </w:rPr>
              <w:t>$8.44 (Zacks consensus)</w:t>
            </w:r>
          </w:p>
        </w:tc>
        <w:tc>
          <w:tcPr>
            <w:tcW w:type="dxa" w:w="1080"/>
          </w:tcPr>
          <w:p>
            <w:r>
              <w:rPr>
                <w:rFonts w:ascii="Calibri" w:hAnsi="Calibri"/>
                <w:sz w:val="22"/>
              </w:rPr>
              <w:t>~-5% (reflects standalone cost step-up)</w:t>
            </w:r>
          </w:p>
        </w:tc>
        <w:tc>
          <w:tcPr>
            <w:tcW w:type="dxa" w:w="1080"/>
          </w:tcPr>
          <w:p>
            <w:r>
              <w:rPr>
                <w:rFonts w:ascii="Calibri" w:hAnsi="Calibri"/>
                <w:sz w:val="22"/>
              </w:rPr>
              <w:t>No formal EPS guide issued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 — EPS reflects new standalone cost structure</w:t>
            </w:r>
          </w:p>
        </w:tc>
      </w:tr>
    </w:tbl>
    <w:p>
      <w:r>
        <w:rPr>
          <w:rFonts w:ascii="Calibri" w:hAnsi="Calibri"/>
          <w:b/>
          <w:color w:val="525866"/>
          <w:sz w:val="22"/>
        </w:rPr>
        <w:t xml:space="preserve">Commentary: </w:t>
      </w:r>
      <w:r>
        <w:rPr>
          <w:rFonts w:ascii="Calibri" w:hAnsi="Calibri"/>
          <w:color w:val="525866"/>
          <w:sz w:val="22"/>
        </w:rPr>
        <w:t>The estimate revision picture is unusually clean for a newly public company — revenue and EBIT consensus has barely moved since the spin, tracking tightly to management’s guidance. The modest EPS drift lower reflects the market’s ongoing calibration of standalone costs (trademark license fee, public company overhead, interest on $20B of spin debt). The key question for Q2 is whether management provides a formal standalone EPS framework for H2 2026 and FY2026, which would give the street a cleaner anchor. Source: Visible Alpha consensus and actuals data; earnings revision momentum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HONA surged ~12% in its first three trading days post-spin (Jun 29 – Jul 2), then gave back all of those gains and more, falling ~21% from the Jul 2 peak to a Jul 23 trough of ~$196, before recovering to ~$208 by Aug 3. The stock has </w:t>
      </w:r>
      <w:r>
        <w:rPr>
          <w:rFonts w:ascii="Calibri" w:hAnsi="Calibri"/>
          <w:b/>
          <w:color w:val="525866"/>
          <w:sz w:val="22"/>
        </w:rPr>
        <w:t>underperformed XAR meaningfully</w:t>
      </w:r>
      <w:r>
        <w:rPr>
          <w:rFonts w:ascii="Calibri" w:hAnsi="Calibri"/>
          <w:color w:val="525866"/>
          <w:sz w:val="22"/>
        </w:rPr>
        <w:t xml:space="preserve"> since listing, suggesting the market is applying a new-issue discount and awaiting the first clean standalone print to re-rate.</w:t>
      </w:r>
    </w:p>
    <w:p>
      <w:r>
        <w:rPr>
          <w:rFonts w:ascii="Calibri" w:hAnsi="Calibri"/>
          <w:b/>
          <w:color w:val="525866"/>
          <w:sz w:val="22"/>
        </w:rPr>
        <w:t xml:space="preserve">⚠ Index Start Note: </w:t>
      </w:r>
      <w:r>
        <w:rPr>
          <w:rFonts w:ascii="Calibri" w:hAnsi="Calibri"/>
          <w:color w:val="525866"/>
          <w:sz w:val="22"/>
        </w:rPr>
        <w:t>HONA began trading as an independent public company on June 29, 2026. All performance is indexed to June 29, 2026 = 100. No pre-spin standalone price history exists. XAR (SPDR S&amp;P Aerospace &amp; Defense ETF) is used as the sector benchmark.</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Date / Event</w:t>
            </w:r>
          </w:p>
        </w:tc>
        <w:tc>
          <w:tcPr>
            <w:tcW w:type="dxa" w:w="1440"/>
            <w:shd w:val="clear" w:color="auto" w:fill="3B4259"/>
          </w:tcPr>
          <w:p>
            <w:r>
              <w:rPr>
                <w:rFonts w:ascii="Calibri" w:hAnsi="Calibri"/>
                <w:b/>
                <w:color w:val="FFFFFF"/>
                <w:sz w:val="22"/>
              </w:rPr>
              <w:t>HONA Price</w:t>
            </w:r>
          </w:p>
        </w:tc>
        <w:tc>
          <w:tcPr>
            <w:tcW w:type="dxa" w:w="1440"/>
            <w:shd w:val="clear" w:color="auto" w:fill="3B4259"/>
          </w:tcPr>
          <w:p>
            <w:r>
              <w:rPr>
                <w:rFonts w:ascii="Calibri" w:hAnsi="Calibri"/>
                <w:b/>
                <w:color w:val="FFFFFF"/>
                <w:sz w:val="22"/>
              </w:rPr>
              <w:t>HONA Indexed (Jun 29 = 100)</w:t>
            </w:r>
          </w:p>
        </w:tc>
        <w:tc>
          <w:tcPr>
            <w:tcW w:type="dxa" w:w="1440"/>
            <w:shd w:val="clear" w:color="auto" w:fill="3B4259"/>
          </w:tcPr>
          <w:p>
            <w:r>
              <w:rPr>
                <w:rFonts w:ascii="Calibri" w:hAnsi="Calibri"/>
                <w:b/>
                <w:color w:val="FFFFFF"/>
                <w:sz w:val="22"/>
              </w:rPr>
              <w:t>XAR Indexed</w:t>
            </w:r>
          </w:p>
        </w:tc>
        <w:tc>
          <w:tcPr>
            <w:tcW w:type="dxa" w:w="1440"/>
            <w:shd w:val="clear" w:color="auto" w:fill="3B4259"/>
          </w:tcPr>
          <w:p>
            <w:r>
              <w:rPr>
                <w:rFonts w:ascii="Calibri" w:hAnsi="Calibri"/>
                <w:b/>
                <w:color w:val="FFFFFF"/>
                <w:sz w:val="22"/>
              </w:rPr>
              <w:t>SPY Indexed</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Jun 29, 2026 (Spin Day)</w:t>
            </w:r>
          </w:p>
        </w:tc>
        <w:tc>
          <w:tcPr>
            <w:tcW w:type="dxa" w:w="1440"/>
          </w:tcPr>
          <w:p>
            <w:r>
              <w:rPr>
                <w:rFonts w:ascii="Calibri" w:hAnsi="Calibri"/>
                <w:sz w:val="22"/>
              </w:rPr>
              <w:t>$220.19</w:t>
            </w:r>
          </w:p>
        </w:tc>
        <w:tc>
          <w:tcPr>
            <w:tcW w:type="dxa" w:w="1440"/>
          </w:tcPr>
          <w:p>
            <w:r>
              <w:rPr>
                <w:rFonts w:ascii="Calibri" w:hAnsi="Calibri"/>
                <w:sz w:val="22"/>
              </w:rPr>
              <w:t>100.0</w:t>
            </w:r>
          </w:p>
        </w:tc>
        <w:tc>
          <w:tcPr>
            <w:tcW w:type="dxa" w:w="1440"/>
          </w:tcPr>
          <w:p>
            <w:r>
              <w:rPr>
                <w:rFonts w:ascii="Calibri" w:hAnsi="Calibri"/>
                <w:sz w:val="22"/>
              </w:rPr>
              <w:t>100.0</w:t>
            </w:r>
          </w:p>
        </w:tc>
        <w:tc>
          <w:tcPr>
            <w:tcW w:type="dxa" w:w="1440"/>
          </w:tcPr>
          <w:p>
            <w:r>
              <w:rPr>
                <w:rFonts w:ascii="Calibri" w:hAnsi="Calibri"/>
                <w:sz w:val="22"/>
              </w:rPr>
              <w:t>100.0</w:t>
            </w:r>
          </w:p>
        </w:tc>
        <w:tc>
          <w:tcPr>
            <w:tcW w:type="dxa" w:w="1440"/>
          </w:tcPr>
          <w:p>
            <w:r>
              <w:rPr>
                <w:rFonts w:ascii="Calibri" w:hAnsi="Calibri"/>
                <w:sz w:val="22"/>
              </w:rPr>
              <w:t>First day of standalone trading</w:t>
            </w:r>
          </w:p>
        </w:tc>
      </w:tr>
      <w:tr>
        <w:tc>
          <w:tcPr>
            <w:tcW w:type="dxa" w:w="1440"/>
          </w:tcPr>
          <w:p>
            <w:r>
              <w:rPr>
                <w:rFonts w:ascii="Calibri" w:hAnsi="Calibri"/>
                <w:sz w:val="22"/>
              </w:rPr>
              <w:t>Jun 30, 2026</w:t>
            </w:r>
          </w:p>
        </w:tc>
        <w:tc>
          <w:tcPr>
            <w:tcW w:type="dxa" w:w="1440"/>
          </w:tcPr>
          <w:p>
            <w:r>
              <w:rPr>
                <w:rFonts w:ascii="Calibri" w:hAnsi="Calibri"/>
                <w:sz w:val="22"/>
              </w:rPr>
              <w:t>$221.08</w:t>
            </w:r>
          </w:p>
        </w:tc>
        <w:tc>
          <w:tcPr>
            <w:tcW w:type="dxa" w:w="1440"/>
          </w:tcPr>
          <w:p>
            <w:r>
              <w:rPr>
                <w:rFonts w:ascii="Calibri" w:hAnsi="Calibri"/>
                <w:sz w:val="22"/>
              </w:rPr>
              <w:t>100.4</w:t>
            </w:r>
          </w:p>
        </w:tc>
        <w:tc>
          <w:tcPr>
            <w:tcW w:type="dxa" w:w="1440"/>
          </w:tcPr>
          <w:p>
            <w:r>
              <w:rPr>
                <w:rFonts w:ascii="Calibri" w:hAnsi="Calibri"/>
                <w:sz w:val="22"/>
              </w:rPr>
              <w:t>102.5</w:t>
            </w:r>
          </w:p>
        </w:tc>
        <w:tc>
          <w:tcPr>
            <w:tcW w:type="dxa" w:w="1440"/>
          </w:tcPr>
          <w:p>
            <w:r>
              <w:rPr>
                <w:rFonts w:ascii="Calibri" w:hAnsi="Calibri"/>
                <w:sz w:val="22"/>
              </w:rPr>
              <w:t>100.8</w:t>
            </w:r>
          </w:p>
        </w:tc>
        <w:tc>
          <w:tcPr>
            <w:tcW w:type="dxa" w:w="1440"/>
          </w:tcPr>
          <w:p>
            <w:r>
              <w:rPr>
                <w:rFonts w:ascii="Calibri" w:hAnsi="Calibri"/>
                <w:sz w:val="22"/>
              </w:rPr>
              <w:t>—</w:t>
            </w:r>
          </w:p>
        </w:tc>
      </w:tr>
      <w:tr>
        <w:tc>
          <w:tcPr>
            <w:tcW w:type="dxa" w:w="1440"/>
          </w:tcPr>
          <w:p>
            <w:r>
              <w:rPr>
                <w:rFonts w:ascii="Calibri" w:hAnsi="Calibri"/>
                <w:sz w:val="22"/>
              </w:rPr>
              <w:t>Jul 2, 2026 (Peak)</w:t>
            </w:r>
          </w:p>
        </w:tc>
        <w:tc>
          <w:tcPr>
            <w:tcW w:type="dxa" w:w="1440"/>
          </w:tcPr>
          <w:p>
            <w:r>
              <w:rPr>
                <w:rFonts w:ascii="Calibri" w:hAnsi="Calibri"/>
                <w:sz w:val="22"/>
              </w:rPr>
              <w:t>$247.15</w:t>
            </w:r>
          </w:p>
        </w:tc>
        <w:tc>
          <w:tcPr>
            <w:tcW w:type="dxa" w:w="1440"/>
          </w:tcPr>
          <w:p>
            <w:r>
              <w:rPr>
                <w:rFonts w:ascii="Calibri" w:hAnsi="Calibri"/>
                <w:sz w:val="22"/>
              </w:rPr>
              <w:t>112.2</w:t>
            </w:r>
          </w:p>
        </w:tc>
        <w:tc>
          <w:tcPr>
            <w:tcW w:type="dxa" w:w="1440"/>
          </w:tcPr>
          <w:p>
            <w:r>
              <w:rPr>
                <w:rFonts w:ascii="Calibri" w:hAnsi="Calibri"/>
                <w:sz w:val="22"/>
              </w:rPr>
              <w:t>103.8</w:t>
            </w:r>
          </w:p>
        </w:tc>
        <w:tc>
          <w:tcPr>
            <w:tcW w:type="dxa" w:w="1440"/>
          </w:tcPr>
          <w:p>
            <w:r>
              <w:rPr>
                <w:rFonts w:ascii="Calibri" w:hAnsi="Calibri"/>
                <w:sz w:val="22"/>
              </w:rPr>
              <w:t>100.5</w:t>
            </w:r>
          </w:p>
        </w:tc>
        <w:tc>
          <w:tcPr>
            <w:tcW w:type="dxa" w:w="1440"/>
          </w:tcPr>
          <w:p>
            <w:r>
              <w:rPr>
                <w:rFonts w:ascii="Calibri" w:hAnsi="Calibri"/>
                <w:sz w:val="22"/>
              </w:rPr>
              <w:t>Post-spin euphoria peak; +12% in 3 days</w:t>
            </w:r>
          </w:p>
        </w:tc>
      </w:tr>
      <w:tr>
        <w:tc>
          <w:tcPr>
            <w:tcW w:type="dxa" w:w="1440"/>
          </w:tcPr>
          <w:p>
            <w:r>
              <w:rPr>
                <w:rFonts w:ascii="Calibri" w:hAnsi="Calibri"/>
                <w:sz w:val="22"/>
              </w:rPr>
              <w:t>Jul 16, 2026</w:t>
            </w:r>
          </w:p>
        </w:tc>
        <w:tc>
          <w:tcPr>
            <w:tcW w:type="dxa" w:w="1440"/>
          </w:tcPr>
          <w:p>
            <w:r>
              <w:rPr>
                <w:rFonts w:ascii="Calibri" w:hAnsi="Calibri"/>
                <w:sz w:val="22"/>
              </w:rPr>
              <w:t>$208.37</w:t>
            </w:r>
          </w:p>
        </w:tc>
        <w:tc>
          <w:tcPr>
            <w:tcW w:type="dxa" w:w="1440"/>
          </w:tcPr>
          <w:p>
            <w:r>
              <w:rPr>
                <w:rFonts w:ascii="Calibri" w:hAnsi="Calibri"/>
                <w:sz w:val="22"/>
              </w:rPr>
              <w:t>94.6</w:t>
            </w:r>
          </w:p>
        </w:tc>
        <w:tc>
          <w:tcPr>
            <w:tcW w:type="dxa" w:w="1440"/>
          </w:tcPr>
          <w:p>
            <w:r>
              <w:rPr>
                <w:rFonts w:ascii="Calibri" w:hAnsi="Calibri"/>
                <w:sz w:val="22"/>
              </w:rPr>
              <w:t>93.5</w:t>
            </w:r>
          </w:p>
        </w:tc>
        <w:tc>
          <w:tcPr>
            <w:tcW w:type="dxa" w:w="1440"/>
          </w:tcPr>
          <w:p>
            <w:r>
              <w:rPr>
                <w:rFonts w:ascii="Calibri" w:hAnsi="Calibri"/>
                <w:sz w:val="22"/>
              </w:rPr>
              <w:t>101.3</w:t>
            </w:r>
          </w:p>
        </w:tc>
        <w:tc>
          <w:tcPr>
            <w:tcW w:type="dxa" w:w="1440"/>
          </w:tcPr>
          <w:p>
            <w:r>
              <w:rPr>
                <w:rFonts w:ascii="Calibri" w:hAnsi="Calibri"/>
                <w:sz w:val="22"/>
              </w:rPr>
              <w:t>GE Aerospace Q2 earnings (sector pressure)</w:t>
            </w:r>
          </w:p>
        </w:tc>
      </w:tr>
      <w:tr>
        <w:tc>
          <w:tcPr>
            <w:tcW w:type="dxa" w:w="1440"/>
          </w:tcPr>
          <w:p>
            <w:r>
              <w:rPr>
                <w:rFonts w:ascii="Calibri" w:hAnsi="Calibri"/>
                <w:sz w:val="22"/>
              </w:rPr>
              <w:t>Jul 23, 2026 (Trough)</w:t>
            </w:r>
          </w:p>
        </w:tc>
        <w:tc>
          <w:tcPr>
            <w:tcW w:type="dxa" w:w="1440"/>
          </w:tcPr>
          <w:p>
            <w:r>
              <w:rPr>
                <w:rFonts w:ascii="Calibri" w:hAnsi="Calibri"/>
                <w:sz w:val="22"/>
              </w:rPr>
              <w:t>$195.87</w:t>
            </w:r>
          </w:p>
        </w:tc>
        <w:tc>
          <w:tcPr>
            <w:tcW w:type="dxa" w:w="1440"/>
          </w:tcPr>
          <w:p>
            <w:r>
              <w:rPr>
                <w:rFonts w:ascii="Calibri" w:hAnsi="Calibri"/>
                <w:sz w:val="22"/>
              </w:rPr>
              <w:t>89.0</w:t>
            </w:r>
          </w:p>
        </w:tc>
        <w:tc>
          <w:tcPr>
            <w:tcW w:type="dxa" w:w="1440"/>
          </w:tcPr>
          <w:p>
            <w:r>
              <w:rPr>
                <w:rFonts w:ascii="Calibri" w:hAnsi="Calibri"/>
                <w:sz w:val="22"/>
              </w:rPr>
              <w:t>97.7</w:t>
            </w:r>
          </w:p>
        </w:tc>
        <w:tc>
          <w:tcPr>
            <w:tcW w:type="dxa" w:w="1440"/>
          </w:tcPr>
          <w:p>
            <w:r>
              <w:rPr>
                <w:rFonts w:ascii="Calibri" w:hAnsi="Calibri"/>
                <w:sz w:val="22"/>
              </w:rPr>
              <w:t>99.6</w:t>
            </w:r>
          </w:p>
        </w:tc>
        <w:tc>
          <w:tcPr>
            <w:tcW w:type="dxa" w:w="1440"/>
          </w:tcPr>
          <w:p>
            <w:r>
              <w:rPr>
                <w:rFonts w:ascii="Calibri" w:hAnsi="Calibri"/>
                <w:sz w:val="22"/>
              </w:rPr>
              <w:t>RTX Q2 earnings day; sector rotation; -21% from peak</w:t>
            </w:r>
          </w:p>
        </w:tc>
      </w:tr>
      <w:tr>
        <w:tc>
          <w:tcPr>
            <w:tcW w:type="dxa" w:w="1440"/>
          </w:tcPr>
          <w:p>
            <w:r>
              <w:rPr>
                <w:rFonts w:ascii="Calibri" w:hAnsi="Calibri"/>
                <w:sz w:val="22"/>
              </w:rPr>
              <w:t>Aug 3, 2026</w:t>
            </w:r>
          </w:p>
        </w:tc>
        <w:tc>
          <w:tcPr>
            <w:tcW w:type="dxa" w:w="1440"/>
          </w:tcPr>
          <w:p>
            <w:r>
              <w:rPr>
                <w:rFonts w:ascii="Calibri" w:hAnsi="Calibri"/>
                <w:sz w:val="22"/>
              </w:rPr>
              <w:t>$208.27</w:t>
            </w:r>
          </w:p>
        </w:tc>
        <w:tc>
          <w:tcPr>
            <w:tcW w:type="dxa" w:w="1440"/>
          </w:tcPr>
          <w:p>
            <w:r>
              <w:rPr>
                <w:rFonts w:ascii="Calibri" w:hAnsi="Calibri"/>
                <w:sz w:val="22"/>
              </w:rPr>
              <w:t>94.6</w:t>
            </w:r>
          </w:p>
        </w:tc>
        <w:tc>
          <w:tcPr>
            <w:tcW w:type="dxa" w:w="1440"/>
          </w:tcPr>
          <w:p>
            <w:r>
              <w:rPr>
                <w:rFonts w:ascii="Calibri" w:hAnsi="Calibri"/>
                <w:sz w:val="22"/>
              </w:rPr>
              <w:t>98.8</w:t>
            </w:r>
          </w:p>
        </w:tc>
        <w:tc>
          <w:tcPr>
            <w:tcW w:type="dxa" w:w="1440"/>
          </w:tcPr>
          <w:p>
            <w:r>
              <w:rPr>
                <w:rFonts w:ascii="Calibri" w:hAnsi="Calibri"/>
                <w:sz w:val="22"/>
              </w:rPr>
              <w:t>102.2</w:t>
            </w:r>
          </w:p>
        </w:tc>
        <w:tc>
          <w:tcPr>
            <w:tcW w:type="dxa" w:w="1440"/>
          </w:tcPr>
          <w:p>
            <w:r>
              <w:rPr>
                <w:rFonts w:ascii="Calibri" w:hAnsi="Calibri"/>
                <w:sz w:val="22"/>
              </w:rPr>
              <w:t>Pre-earnings; partial recovery</w:t>
            </w:r>
          </w:p>
        </w:tc>
      </w:tr>
      <w:tr>
        <w:tc>
          <w:tcPr>
            <w:tcW w:type="dxa" w:w="1440"/>
          </w:tcPr>
          <w:p>
            <w:r>
              <w:rPr>
                <w:rFonts w:ascii="Calibri" w:hAnsi="Calibri"/>
                <w:b/>
                <w:sz w:val="22"/>
              </w:rPr>
              <w:t>Aug 5, 2026 (Earnings Day)</w:t>
            </w:r>
          </w:p>
        </w:tc>
        <w:tc>
          <w:tcPr>
            <w:tcW w:type="dxa" w:w="1440"/>
          </w:tcPr>
          <w:p>
            <w:r>
              <w:rPr>
                <w:rFonts w:ascii="Calibri" w:hAnsi="Calibri"/>
                <w:b/>
                <w:sz w:val="22"/>
              </w:rPr>
              <w:t>$216.48</w:t>
            </w:r>
          </w:p>
        </w:tc>
        <w:tc>
          <w:tcPr>
            <w:tcW w:type="dxa" w:w="1440"/>
          </w:tcPr>
          <w:p>
            <w:r>
              <w:rPr>
                <w:rFonts w:ascii="Calibri" w:hAnsi="Calibri"/>
                <w:b/>
                <w:sz w:val="22"/>
              </w:rPr>
              <w:t>98.3</w:t>
            </w:r>
          </w:p>
        </w:tc>
        <w:tc>
          <w:tcPr>
            <w:tcW w:type="dxa" w:w="1440"/>
          </w:tcPr>
          <w:p>
            <w:r>
              <w:rPr>
                <w:rFonts w:ascii="Calibri" w:hAnsi="Calibri"/>
                <w:b/>
                <w:sz w:val="22"/>
              </w:rPr>
              <w:t>101.9</w:t>
            </w:r>
          </w:p>
        </w:tc>
        <w:tc>
          <w:tcPr>
            <w:tcW w:type="dxa" w:w="1440"/>
          </w:tcPr>
          <w:p>
            <w:r>
              <w:rPr>
                <w:rFonts w:ascii="Calibri" w:hAnsi="Calibri"/>
                <w:b/>
                <w:sz w:val="22"/>
              </w:rPr>
              <w:t>104.0</w:t>
            </w:r>
          </w:p>
        </w:tc>
        <w:tc>
          <w:tcPr>
            <w:tcW w:type="dxa" w:w="1440"/>
          </w:tcPr>
          <w:p>
            <w:r>
              <w:rPr>
                <w:rFonts w:ascii="Calibri" w:hAnsi="Calibri"/>
                <w:b/>
                <w:sz w:val="22"/>
              </w:rPr>
              <w:t>Earnings release day (after close)</w:t>
            </w:r>
          </w:p>
        </w:tc>
      </w:tr>
    </w:tbl>
    <w:p>
      <w:r>
        <w:rPr>
          <w:rFonts w:ascii="Calibri" w:hAnsi="Calibri"/>
          <w:b/>
          <w:color w:val="525866"/>
          <w:sz w:val="22"/>
        </w:rPr>
        <w:t xml:space="preserve">Performance Summary (Jun 29 – Aug 3, 2026): </w:t>
      </w:r>
      <w:r>
        <w:rPr>
          <w:rFonts w:ascii="Calibri" w:hAnsi="Calibri"/>
          <w:color w:val="525866"/>
          <w:sz w:val="22"/>
        </w:rPr>
        <w:t>HONA -5.4% | XAR -1.2% | SPY +2.2%. HONA has underperformed XAR by ~4.2 percentage points and SPY by ~7.6 percentage points since listing. The underperformance is concentrated in the Jul 2–23 drawdown, which coincided with sector-wide pressure around GE Aerospace and RTX earnings. The stock’s 1-month return of -8.9% (per stock performance decomposition data) reflects sentiment/multiple compression rather than estimate cuts, as consensus revenue and EBIT have been stable. Source: Stock price data (Yahoo Finance); XAR and SPY price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Q1 2026 print is the </w:t>
      </w:r>
      <w:r>
        <w:rPr>
          <w:rFonts w:ascii="Calibri" w:hAnsi="Calibri"/>
          <w:b/>
          <w:color w:val="525866"/>
          <w:sz w:val="22"/>
        </w:rPr>
        <w:t>successful completion of the spin-off on June 29, 2026</w:t>
      </w:r>
      <w:r>
        <w:rPr>
          <w:rFonts w:ascii="Calibri" w:hAnsi="Calibri"/>
          <w:color w:val="525866"/>
          <w:sz w:val="22"/>
        </w:rPr>
        <w:t xml:space="preserve"> and the formal introduction of standalone financial guidance at the June 3 Investor Day — both of which set the framework for how the market will evaluate HONA as an independent company. The $500M DoW supplier framework agreement is the most significant demand-side signal.</w:t>
      </w:r>
    </w:p>
    <w:p>
      <w:pPr>
        <w:pStyle w:val="ListBullet"/>
        <w:ind w:left="360" w:hanging="360"/>
      </w:pPr>
      <w:r>
        <w:rPr>
          <w:rFonts w:ascii="Calibri" w:hAnsi="Calibri"/>
          <w:b/>
          <w:color w:val="525866"/>
          <w:sz w:val="22"/>
        </w:rPr>
        <w:t>June 29, 2026 — Spin-off Completed; HONA Begins Trading on Nasdaq.</w:t>
      </w:r>
      <w:r>
        <w:rPr>
          <w:rFonts w:ascii="Calibri" w:hAnsi="Calibri"/>
          <w:color w:val="525866"/>
          <w:sz w:val="22"/>
        </w:rPr>
        <w:t xml:space="preserve"> Honeywell Aerospace officially separated from Honeywell International (now Honeywell Technologies, HON) and began trading as an independent public company. The separation was completed on schedule (originally targeted for Q3 2026, pulled forward to June 29). </w:t>
      </w:r>
      <w:r>
        <w:rPr>
          <w:rFonts w:ascii="Calibri" w:hAnsi="Calibri"/>
          <w:b/>
          <w:color w:val="525866"/>
          <w:sz w:val="22"/>
        </w:rPr>
        <w:t>Implication:</w:t>
      </w:r>
      <w:r>
        <w:rPr>
          <w:rFonts w:ascii="Calibri" w:hAnsi="Calibri"/>
          <w:color w:val="525866"/>
          <w:sz w:val="22"/>
        </w:rPr>
        <w:t xml:space="preserve"> Q2 2026 will be the first standalone earnings report; results may differ from prior HON segment disclosures due to cost allocation, perimeter, and intracompany transaction adjustments.</w:t>
      </w:r>
    </w:p>
    <w:p>
      <w:pPr>
        <w:pStyle w:val="ListBullet"/>
        <w:ind w:left="360" w:hanging="360"/>
      </w:pPr>
      <w:r>
        <w:rPr>
          <w:rFonts w:ascii="Calibri" w:hAnsi="Calibri"/>
          <w:b/>
          <w:color w:val="525866"/>
          <w:sz w:val="22"/>
        </w:rPr>
        <w:t>June 3, 2026 — Inaugural Investor Day; Standalone Financial Framework Introduced.</w:t>
      </w:r>
      <w:r>
        <w:rPr>
          <w:rFonts w:ascii="Calibri" w:hAnsi="Calibri"/>
          <w:color w:val="525866"/>
          <w:sz w:val="22"/>
        </w:rPr>
        <w:t xml:space="preserve"> Management presented the Honeywell Aerospace Operating System and issued the first standalone financial targets: FY2026 organic sales growth of 7–9%, adjusted EBIT of $4.65–$4.75B, and H2 2026 FCF of $1.0–$1.5B. Long-term targets: 6–8% organic sales CAGR through 2030, EBIT ≥$6.5B, FCF &gt;$4B by 2030. </w:t>
      </w:r>
      <w:r>
        <w:rPr>
          <w:rFonts w:ascii="Calibri" w:hAnsi="Calibri"/>
          <w:b/>
          <w:color w:val="525866"/>
          <w:sz w:val="22"/>
        </w:rPr>
        <w:t>Implication:</w:t>
      </w:r>
      <w:r>
        <w:rPr>
          <w:rFonts w:ascii="Calibri" w:hAnsi="Calibri"/>
          <w:color w:val="525866"/>
          <w:sz w:val="22"/>
        </w:rPr>
        <w:t xml:space="preserve"> This is the primary guidance anchor for Q2 and FY2026 consensus. Management tone was confident and demand commentary was bullish across all three end markets.</w:t>
      </w:r>
    </w:p>
    <w:p>
      <w:pPr>
        <w:pStyle w:val="ListBullet"/>
        <w:ind w:left="360" w:hanging="360"/>
      </w:pPr>
      <w:r>
        <w:rPr>
          <w:rFonts w:ascii="Calibri" w:hAnsi="Calibri"/>
          <w:b/>
          <w:color w:val="525866"/>
          <w:sz w:val="22"/>
        </w:rPr>
        <w:t>Q1 2026 (April 23, 2026) — Supply Chain Disruption Flagged; Recovery Confirmed.</w:t>
      </w:r>
      <w:r>
        <w:rPr>
          <w:rFonts w:ascii="Calibri" w:hAnsi="Calibri"/>
          <w:color w:val="525866"/>
          <w:sz w:val="22"/>
        </w:rPr>
        <w:t xml:space="preserve"> HON Q1 2026 earnings call disclosed an acute, transitory mechanical supply-chain disruption in January–February 2026 affecting Engines &amp; Power Systems and Control Systems. Recovery began in March (highest revenue month of Q1) and was confirmed carrying into April. </w:t>
      </w:r>
      <w:r>
        <w:rPr>
          <w:rFonts w:ascii="Calibri" w:hAnsi="Calibri"/>
          <w:b/>
          <w:color w:val="525866"/>
          <w:sz w:val="22"/>
        </w:rPr>
        <w:t>Implication:</w:t>
      </w:r>
      <w:r>
        <w:rPr>
          <w:rFonts w:ascii="Calibri" w:hAnsi="Calibri"/>
          <w:color w:val="525866"/>
          <w:sz w:val="22"/>
        </w:rPr>
        <w:t xml:space="preserve"> Q2 2026 is the first quarter where the full recovery should be visible. If Engines &amp; Power Systems and Control Systems do not show sequential improvement, it would be a negative surprise.</w:t>
      </w:r>
    </w:p>
    <w:p>
      <w:pPr>
        <w:pStyle w:val="ListBullet"/>
        <w:ind w:left="360" w:hanging="360"/>
      </w:pPr>
      <w:r>
        <w:rPr>
          <w:rFonts w:ascii="Calibri" w:hAnsi="Calibri"/>
          <w:b/>
          <w:color w:val="525866"/>
          <w:sz w:val="22"/>
        </w:rPr>
        <w:t>Q1 2026 (April 23, 2026) — $500M U.S. Department of War Supplier Framework Agreement.</w:t>
      </w:r>
      <w:r>
        <w:rPr>
          <w:rFonts w:ascii="Calibri" w:hAnsi="Calibri"/>
          <w:color w:val="525866"/>
          <w:sz w:val="22"/>
        </w:rPr>
        <w:t xml:space="preserve"> Honeywell Aerospace announced a groundbreaking supplier framework agreement with the U.S. Department of War to rapidly increase production of critical defense technology, described as a </w:t>
      </w:r>
      <w:r>
        <w:rPr>
          <w:rFonts w:ascii="Calibri" w:hAnsi="Calibri"/>
          <w:b/>
          <w:color w:val="525866"/>
          <w:sz w:val="22"/>
        </w:rPr>
        <w:t>multibillion-dollar revenue opportunity.</w:t>
      </w:r>
      <w:r>
        <w:rPr>
          <w:rFonts w:ascii="Calibri" w:hAnsi="Calibri"/>
          <w:color w:val="525866"/>
          <w:sz w:val="22"/>
        </w:rPr>
        <w:t xml:space="preserve"> Implication: Significant long-term defense demand signal; supports the high single-digit Defense &amp; Space growth guide for 2026 and the mid-single-digit CAGR through 2030.</w:t>
      </w:r>
    </w:p>
    <w:p>
      <w:pPr>
        <w:pStyle w:val="ListBullet"/>
        <w:ind w:left="360" w:hanging="360"/>
      </w:pPr>
      <w:r>
        <w:rPr>
          <w:rFonts w:ascii="Calibri" w:hAnsi="Calibri"/>
          <w:b/>
          <w:color w:val="525866"/>
          <w:sz w:val="22"/>
        </w:rPr>
        <w:t>March 2026 — $20B Spin Financing Completed; Investment-Grade Ratings Secured.</w:t>
      </w:r>
      <w:r>
        <w:rPr>
          <w:rFonts w:ascii="Calibri" w:hAnsi="Calibri"/>
          <w:color w:val="525866"/>
          <w:sz w:val="22"/>
        </w:rPr>
        <w:t xml:space="preserve"> HONA raised $20B in spin financing with investment-grade ratings (A3/Moody’s, A-/Fitch, BBB+/S&amp;P, all positive outlook). Proceeds used to redeem HON debt and fund the Aerospace balance sheet. </w:t>
      </w:r>
      <w:r>
        <w:rPr>
          <w:rFonts w:ascii="Calibri" w:hAnsi="Calibri"/>
          <w:b/>
          <w:color w:val="525866"/>
          <w:sz w:val="22"/>
        </w:rPr>
        <w:t>Implication:</w:t>
      </w:r>
      <w:r>
        <w:rPr>
          <w:rFonts w:ascii="Calibri" w:hAnsi="Calibri"/>
          <w:color w:val="525866"/>
          <w:sz w:val="22"/>
        </w:rPr>
        <w:t xml:space="preserve"> Interest expense on this debt is a new standalone cost headwind to EPS vs. prior segment reporting. The trademark license fee ($225M annual cash cost to HONA) is an additional standalone cost not in historical segment figures.</w:t>
      </w:r>
    </w:p>
    <w:p>
      <w:pPr>
        <w:pStyle w:val="ListBullet"/>
        <w:ind w:left="360" w:hanging="360"/>
      </w:pPr>
      <w:r>
        <w:rPr>
          <w:rFonts w:ascii="Calibri" w:hAnsi="Calibri"/>
          <w:b/>
          <w:color w:val="525866"/>
          <w:sz w:val="22"/>
        </w:rPr>
        <w:t>June 8, 2026 — Honeywell Technologies Guidance Update Call.</w:t>
      </w:r>
      <w:r>
        <w:rPr>
          <w:rFonts w:ascii="Calibri" w:hAnsi="Calibri"/>
          <w:color w:val="525866"/>
          <w:sz w:val="22"/>
        </w:rPr>
        <w:t xml:space="preserve"> HON (RemainCo) confirmed the Aerospace spin was on track and reiterated that Q2 2026 was on track for the combined entity pre-spin. The call confirmed the Aerospace trademark license agreement: $225M annual cash impact to HONA, $146M segment profit benefit to HON. </w:t>
      </w:r>
      <w:r>
        <w:rPr>
          <w:rFonts w:ascii="Calibri" w:hAnsi="Calibri"/>
          <w:b/>
          <w:color w:val="525866"/>
          <w:sz w:val="22"/>
        </w:rPr>
        <w:t>Implication:</w:t>
      </w:r>
      <w:r>
        <w:rPr>
          <w:rFonts w:ascii="Calibri" w:hAnsi="Calibri"/>
          <w:color w:val="525866"/>
          <w:sz w:val="22"/>
        </w:rPr>
        <w:t xml:space="preserve"> Clarifies the magnitude of the license fee headwind to HONA’s standalone FCF and margins.</w:t>
      </w:r>
    </w:p>
    <w:p>
      <w:pPr>
        <w:pStyle w:val="ListBullet"/>
        <w:ind w:left="360" w:hanging="360"/>
      </w:pPr>
      <w:r>
        <w:rPr>
          <w:rFonts w:ascii="Calibri" w:hAnsi="Calibri"/>
          <w:b/>
          <w:color w:val="525866"/>
          <w:sz w:val="22"/>
        </w:rPr>
        <w:t>July 17, 2026 — Q2 2026 Earnings Date Announced.</w:t>
      </w:r>
      <w:r>
        <w:rPr>
          <w:rFonts w:ascii="Calibri" w:hAnsi="Calibri"/>
          <w:color w:val="525866"/>
          <w:sz w:val="22"/>
        </w:rPr>
        <w:t xml:space="preserve"> HONA confirmed it will release Q2 2026 results after market close on August 5, 2026, with a conference call at 5:00 pm EDT. The press release explicitly noted that standalone results may differ from prior HON segment disclosures.</w:t>
      </w:r>
    </w:p>
    <w:p>
      <w:pPr>
        <w:pStyle w:val="ListBullet"/>
        <w:ind w:left="360" w:hanging="360"/>
      </w:pPr>
      <w:r>
        <w:rPr>
          <w:rFonts w:ascii="Calibri" w:hAnsi="Calibri"/>
          <w:b/>
          <w:color w:val="525866"/>
          <w:sz w:val="22"/>
        </w:rPr>
        <w:t>Ongoing — Aerospace Supply Chain Remains a Multi-Quarter Recovery.</w:t>
      </w:r>
      <w:r>
        <w:rPr>
          <w:rFonts w:ascii="Calibri" w:hAnsi="Calibri"/>
          <w:color w:val="525866"/>
          <w:sz w:val="22"/>
        </w:rPr>
        <w:t xml:space="preserve"> Management has consistently characterized supply chain recovery as a “multi-quarter journey” with operational indicators moving in the right direction. Mechanical components, castings, forgings, and precision machined parts remain the most constrained categories. </w:t>
      </w:r>
      <w:r>
        <w:rPr>
          <w:rFonts w:ascii="Calibri" w:hAnsi="Calibri"/>
          <w:b/>
          <w:color w:val="525866"/>
          <w:sz w:val="22"/>
        </w:rPr>
        <w:t>Implication:</w:t>
      </w:r>
      <w:r>
        <w:rPr>
          <w:rFonts w:ascii="Calibri" w:hAnsi="Calibri"/>
          <w:color w:val="525866"/>
          <w:sz w:val="22"/>
        </w:rPr>
        <w:t xml:space="preserve"> Any commentary on supply chain trajectory for H2 2026 will be closely watched.</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transactions (Form 4 codes P/S) were identified for HONA in the available data window. This is not unusual for a company that only began trading on June 29, 2026 — insiders are typically subject to lock-up periods and blackout windows around the spin-off and ahead of the first earnings release. The absence of insider selling is a mild positive; the absence of buying is not a negative signal given the structural constraints.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insider transactions found for HONA since June 29, 2026 listing. HONA is in its first earnings blackout window as a standalone company. Source: SEC Form 4 filings database.</w:t>
            </w:r>
          </w:p>
        </w:tc>
      </w:tr>
    </w:tbl>
    <w:p>
      <w:r>
        <w:rPr>
          <w:rFonts w:ascii="Calibri" w:hAnsi="Calibri"/>
          <w:b/>
          <w:color w:val="525866"/>
          <w:sz w:val="22"/>
        </w:rPr>
        <w:t xml:space="preserve">Note: </w:t>
      </w:r>
      <w:r>
        <w:rPr>
          <w:rFonts w:ascii="Calibri" w:hAnsi="Calibri"/>
          <w:color w:val="525866"/>
          <w:sz w:val="22"/>
        </w:rPr>
        <w:t>HONA insiders received shares in the spin-off distribution but any resulting Form 4 filings reflecting those distributions (transaction code “A” — grant/award) are not open-market transactions and are excluded per standard methodology. The first meaningful insider transaction signal will likely emerge in the weeks following the Q2 2026 earnings release, once the blackout window lifts.</w:t>
      </w:r>
    </w:p>
    <w:p>
      <w:pPr>
        <w:pStyle w:val="Heading3"/>
      </w:pPr>
      <w:r>
        <w:rPr>
          <w:rFonts w:ascii="Calibri" w:hAnsi="Calibri"/>
          <w:b/>
          <w:color w:val="3B4259"/>
          <w:sz w:val="24"/>
        </w:rPr>
        <w:t>GE Aerospace (GE) — Q2 2026 Earnings (July 16, 2026)</w:t>
      </w:r>
    </w:p>
    <w:p>
      <w:r>
        <w:rPr>
          <w:rFonts w:ascii="Calibri" w:hAnsi="Calibri"/>
          <w:b/>
          <w:color w:val="525866"/>
          <w:sz w:val="22"/>
        </w:rPr>
        <w:t xml:space="preserve">Relevance: </w:t>
      </w:r>
      <w:r>
        <w:rPr>
          <w:rFonts w:ascii="Calibri" w:hAnsi="Calibri"/>
          <w:color w:val="525866"/>
          <w:sz w:val="22"/>
        </w:rPr>
        <w:t>GE Aerospace is the most direct read-through for HONA’s engine aftermarket and commercial OE segments. CFM56/LEAP spare parts demand, shop visit cadence, and OE delivery rates are the primary signals.</w:t>
      </w:r>
    </w:p>
    <w:p>
      <w:pPr>
        <w:pStyle w:val="ListBullet"/>
        <w:ind w:left="360" w:hanging="360"/>
      </w:pPr>
      <w:r>
        <w:rPr>
          <w:rFonts w:ascii="Calibri" w:hAnsi="Calibri"/>
          <w:b/>
          <w:color w:val="525866"/>
          <w:sz w:val="22"/>
        </w:rPr>
        <w:t xml:space="preserve">Demand: </w:t>
      </w:r>
      <w:r>
        <w:rPr>
          <w:rFonts w:ascii="Calibri" w:hAnsi="Calibri"/>
          <w:color w:val="525866"/>
          <w:sz w:val="22"/>
        </w:rPr>
        <w:t>"Overall orders were up 17%, with both segments up at least low double digits." Commercial services backlog stands at ~$170B, up nearly $30B since end of 2024. Entering Q3 with “more than 95% of spare parts revenue in backlog.”</w:t>
      </w:r>
    </w:p>
    <w:p>
      <w:pPr>
        <w:pStyle w:val="ListBullet"/>
        <w:ind w:left="360" w:hanging="360"/>
      </w:pPr>
      <w:r>
        <w:rPr>
          <w:rFonts w:ascii="Calibri" w:hAnsi="Calibri"/>
          <w:b/>
          <w:color w:val="525866"/>
          <w:sz w:val="22"/>
        </w:rPr>
        <w:t xml:space="preserve">OE Deliveries: </w:t>
      </w:r>
      <w:r>
        <w:rPr>
          <w:rFonts w:ascii="Calibri" w:hAnsi="Calibri"/>
          <w:color w:val="525866"/>
          <w:sz w:val="22"/>
        </w:rPr>
        <w:t>Total engine deliveries up 31% H1 2026; LEAP engines up 41% H1. Commercial equipment revenue grew 30% in Q2. Wide body deliveries up 30%. FY2026 commercial equipment now expected to grow “around 20%, up from mid-to-high teens.”</w:t>
      </w:r>
    </w:p>
    <w:p>
      <w:pPr>
        <w:pStyle w:val="ListBullet"/>
        <w:ind w:left="360" w:hanging="360"/>
      </w:pPr>
      <w:r>
        <w:rPr>
          <w:rFonts w:ascii="Calibri" w:hAnsi="Calibri"/>
          <w:b/>
          <w:color w:val="525866"/>
          <w:sz w:val="22"/>
        </w:rPr>
        <w:t xml:space="preserve">Aftermarket: </w:t>
      </w:r>
      <w:r>
        <w:rPr>
          <w:rFonts w:ascii="Calibri" w:hAnsi="Calibri"/>
          <w:color w:val="525866"/>
          <w:sz w:val="22"/>
        </w:rPr>
        <w:t>Commercial services revenue up 32% H1 2026. Internal shop visit revenue grew 25%; LEAP internal shop visits up over 50%. Spare parts sales increased over 25% from improved material availability. FY2026 commercial services now expected to grow “low 20s, up from mid-teens.” LEAP turnaround times improved to ~100 days, down over two weeks YoY.</w:t>
      </w:r>
    </w:p>
    <w:p>
      <w:pPr>
        <w:pStyle w:val="ListBullet"/>
        <w:ind w:left="360" w:hanging="360"/>
      </w:pPr>
      <w:r>
        <w:rPr>
          <w:rFonts w:ascii="Calibri" w:hAnsi="Calibri"/>
          <w:b/>
          <w:color w:val="525866"/>
          <w:sz w:val="22"/>
        </w:rPr>
        <w:t xml:space="preserve">Pricing: </w:t>
      </w:r>
      <w:r>
        <w:rPr>
          <w:rFonts w:ascii="Calibri" w:hAnsi="Calibri"/>
          <w:color w:val="525866"/>
          <w:sz w:val="22"/>
        </w:rPr>
        <w:t>"Pricing approach for spare parts catalogue for this year is going to be consistent with what we did last year." Longer-term, incremental pricing expected as LEAP moves away from initial launch pricing; higher-priced shop visits to start impacting revenue in 2028–2029.</w:t>
      </w:r>
    </w:p>
    <w:p>
      <w:pPr>
        <w:pStyle w:val="ListBullet"/>
        <w:ind w:left="360" w:hanging="360"/>
      </w:pPr>
      <w:r>
        <w:rPr>
          <w:rFonts w:ascii="Calibri" w:hAnsi="Calibri"/>
          <w:b/>
          <w:color w:val="525866"/>
          <w:sz w:val="22"/>
        </w:rPr>
        <w:t xml:space="preserve">Supply Chain: </w:t>
      </w:r>
      <w:r>
        <w:rPr>
          <w:rFonts w:ascii="Calibri" w:hAnsi="Calibri"/>
          <w:color w:val="525866"/>
          <w:sz w:val="22"/>
        </w:rPr>
        <w:t>Nine consecutive quarters of double-digit increases from critical suppliers. AI used to cut demand signal processing time by ~90%. However, spare parts delinquency grew 20% sequentially in Q2 — material availability constraints remain.</w:t>
      </w:r>
    </w:p>
    <w:p>
      <w:pPr>
        <w:pStyle w:val="ListBullet"/>
        <w:ind w:left="360" w:hanging="360"/>
      </w:pPr>
      <w:r>
        <w:rPr>
          <w:rFonts w:ascii="Calibri" w:hAnsi="Calibri"/>
          <w:b/>
          <w:color w:val="525866"/>
          <w:sz w:val="22"/>
        </w:rPr>
        <w:t xml:space="preserve">Defense: </w:t>
      </w:r>
      <w:r>
        <w:rPr>
          <w:rFonts w:ascii="Calibri" w:hAnsi="Calibri"/>
          <w:color w:val="525866"/>
          <w:sz w:val="22"/>
        </w:rPr>
        <w:t>DPT revenue grew 16%; defense book-to-bill 1.7x H1. Total DPT backlog exceeded $30B, up ~$5B since start of year. FY2026 DPT growth now expected “low double digits, up from mid-to-high single digits.”</w:t>
      </w:r>
    </w:p>
    <w:p>
      <w:pPr>
        <w:pStyle w:val="ListBullet"/>
        <w:ind w:left="360" w:hanging="360"/>
      </w:pPr>
      <w:r>
        <w:rPr>
          <w:rFonts w:ascii="Calibri" w:hAnsi="Calibri"/>
          <w:b/>
          <w:color w:val="525866"/>
          <w:sz w:val="22"/>
        </w:rPr>
        <w:t xml:space="preserve">Guidance Raised: </w:t>
      </w:r>
      <w:r>
        <w:rPr>
          <w:rFonts w:ascii="Calibri" w:hAnsi="Calibri"/>
          <w:color w:val="525866"/>
          <w:sz w:val="22"/>
        </w:rPr>
        <w:t>Overall revenue now expected to grow “high teens” (from low double digits). Operating profit projected $10.55–$10.75B. FCF guidance raised to $8.9–$9.2B.</w:t>
      </w:r>
    </w:p>
    <w:p>
      <w:pPr>
        <w:pStyle w:val="ListBullet"/>
        <w:ind w:left="360" w:hanging="360"/>
      </w:pPr>
      <w:r>
        <w:rPr>
          <w:rFonts w:ascii="Calibri" w:hAnsi="Calibri"/>
          <w:b/>
          <w:color w:val="525866"/>
          <w:sz w:val="22"/>
        </w:rPr>
        <w:t xml:space="preserve">HONA Read-Through: </w:t>
      </w:r>
      <w:r>
        <w:rPr>
          <w:rFonts w:ascii="Calibri" w:hAnsi="Calibri"/>
          <w:color w:val="525866"/>
          <w:sz w:val="22"/>
        </w:rPr>
        <w:t>Strongly positive for HONA’s commercial aftermarket (spare parts demand, shop visit volumes) and defense segments. The 20% sequential increase in spare parts delinquency at GE is a mild caution — it suggests material availability is still a constraint industry-wide, which could affect HONA’s own supply chain execution.</w:t>
      </w:r>
    </w:p>
    <w:p>
      <w:pPr>
        <w:pStyle w:val="Heading3"/>
      </w:pPr>
      <w:r>
        <w:rPr>
          <w:rFonts w:ascii="Calibri" w:hAnsi="Calibri"/>
          <w:b/>
          <w:color w:val="3B4259"/>
          <w:sz w:val="24"/>
        </w:rPr>
        <w:t>RTX (Collins Aerospace + Pratt &amp; Whitney) — Q2 2026 Earnings (July 23, 2026)</w:t>
      </w:r>
    </w:p>
    <w:p>
      <w:r>
        <w:rPr>
          <w:rFonts w:ascii="Calibri" w:hAnsi="Calibri"/>
          <w:b/>
          <w:color w:val="525866"/>
          <w:sz w:val="22"/>
        </w:rPr>
        <w:t xml:space="preserve">Relevance: </w:t>
      </w:r>
      <w:r>
        <w:rPr>
          <w:rFonts w:ascii="Calibri" w:hAnsi="Calibri"/>
          <w:color w:val="525866"/>
          <w:sz w:val="22"/>
        </w:rPr>
        <w:t>RTX is the closest direct peer to HONA across the most segments: Collins Aerospace competes in avionics, flight management, and cabin electronics; Pratt &amp; Whitney is the primary engine MRO read-through for GTF fleet dynamics.</w:t>
      </w:r>
    </w:p>
    <w:p>
      <w:pPr>
        <w:pStyle w:val="ListBullet"/>
        <w:ind w:left="360" w:hanging="360"/>
      </w:pPr>
      <w:r>
        <w:rPr>
          <w:rFonts w:ascii="Calibri" w:hAnsi="Calibri"/>
          <w:b/>
          <w:color w:val="525866"/>
          <w:sz w:val="22"/>
        </w:rPr>
        <w:t xml:space="preserve">Demand: </w:t>
      </w:r>
      <w:r>
        <w:rPr>
          <w:rFonts w:ascii="Calibri" w:hAnsi="Calibri"/>
          <w:color w:val="525866"/>
          <w:sz w:val="22"/>
        </w:rPr>
        <w:t>"Across RTX, we continue to see exceptional demand for our products and services." Backlog reached a record $289B, up 22% YoY and 6% sequentially.</w:t>
      </w:r>
    </w:p>
    <w:p>
      <w:pPr>
        <w:pStyle w:val="ListBullet"/>
        <w:ind w:left="360" w:hanging="360"/>
      </w:pPr>
      <w:r>
        <w:rPr>
          <w:rFonts w:ascii="Calibri" w:hAnsi="Calibri"/>
          <w:b/>
          <w:color w:val="525866"/>
          <w:sz w:val="22"/>
        </w:rPr>
        <w:t xml:space="preserve">OE Deliveries: </w:t>
      </w:r>
      <w:r>
        <w:rPr>
          <w:rFonts w:ascii="Calibri" w:hAnsi="Calibri"/>
          <w:color w:val="525866"/>
          <w:sz w:val="22"/>
        </w:rPr>
        <w:t>Commercial OE sales now expected to grow “mid-to-high single digits, up from mid-single digits” — driven by Collins production ramp across narrowbody and widebody. Pratt to deliver “a record number of GTF engines this year.” ~$525M of Collins’ guidance raise attributed to commercial OE.</w:t>
      </w:r>
    </w:p>
    <w:p>
      <w:pPr>
        <w:pStyle w:val="ListBullet"/>
        <w:ind w:left="360" w:hanging="360"/>
      </w:pPr>
      <w:r>
        <w:rPr>
          <w:rFonts w:ascii="Calibri" w:hAnsi="Calibri"/>
          <w:b/>
          <w:color w:val="525866"/>
          <w:sz w:val="22"/>
        </w:rPr>
        <w:t xml:space="preserve">Aftermarket: </w:t>
      </w:r>
      <w:r>
        <w:rPr>
          <w:rFonts w:ascii="Calibri" w:hAnsi="Calibri"/>
          <w:color w:val="525866"/>
          <w:sz w:val="22"/>
        </w:rPr>
        <w:t>Commercial aftermarket up 18% in Q2. FY2026 commercial aftermarket now expected to grow “low double digits across the company, up from high single digits.” Pratt commercial aftermarket up 25%, driven by higher MRO volume. GTF AOGs down 25% H1 from “very solid MRO performance”; 1,100 output up 43% YoY; 23% reduction in turnaround time YoY.</w:t>
      </w:r>
    </w:p>
    <w:p>
      <w:pPr>
        <w:pStyle w:val="ListBullet"/>
        <w:ind w:left="360" w:hanging="360"/>
      </w:pPr>
      <w:r>
        <w:rPr>
          <w:rFonts w:ascii="Calibri" w:hAnsi="Calibri"/>
          <w:b/>
          <w:color w:val="525866"/>
          <w:sz w:val="22"/>
        </w:rPr>
        <w:t xml:space="preserve">Defense: </w:t>
      </w:r>
      <w:r>
        <w:rPr>
          <w:rFonts w:ascii="Calibri" w:hAnsi="Calibri"/>
          <w:color w:val="525866"/>
          <w:sz w:val="22"/>
        </w:rPr>
        <w:t>Defense sales now expected to grow “high single digits, at the higher end of prior range.” Raytheon booked over $10B of international awards H1, up more than 2x YoY. 48% of Raytheon backlog is international. Bipartisan support for ~25% increase in 2027 defense base budget ($1.1T request).</w:t>
      </w:r>
    </w:p>
    <w:p>
      <w:pPr>
        <w:pStyle w:val="ListBullet"/>
        <w:ind w:left="360" w:hanging="360"/>
      </w:pPr>
      <w:r>
        <w:rPr>
          <w:rFonts w:ascii="Calibri" w:hAnsi="Calibri"/>
          <w:b/>
          <w:color w:val="525866"/>
          <w:sz w:val="22"/>
        </w:rPr>
        <w:t xml:space="preserve">Business Aviation: </w:t>
      </w:r>
      <w:r>
        <w:rPr>
          <w:rFonts w:ascii="Calibri" w:hAnsi="Calibri"/>
          <w:color w:val="525866"/>
          <w:sz w:val="22"/>
        </w:rPr>
        <w:t>"Air framers also continue to cite strong demand, with further growth expected in the second half of the year, driving the need for our OE products across narrowbody, widebody and business jet platforms."</w:t>
      </w:r>
    </w:p>
    <w:p>
      <w:pPr>
        <w:pStyle w:val="ListBullet"/>
        <w:ind w:left="360" w:hanging="360"/>
      </w:pPr>
      <w:r>
        <w:rPr>
          <w:rFonts w:ascii="Calibri" w:hAnsi="Calibri"/>
          <w:b/>
          <w:color w:val="525866"/>
          <w:sz w:val="22"/>
        </w:rPr>
        <w:t xml:space="preserve">Supply Chain: </w:t>
      </w:r>
      <w:r>
        <w:rPr>
          <w:rFonts w:ascii="Calibri" w:hAnsi="Calibri"/>
          <w:color w:val="525866"/>
          <w:sz w:val="22"/>
        </w:rPr>
        <w:t>"All of this is going to be predicated on the supply chain." RTX investing in second and third sources in constrained areas; building inventory to support H2 2026 and early 2027 ramp.</w:t>
      </w:r>
    </w:p>
    <w:p>
      <w:pPr>
        <w:pStyle w:val="ListBullet"/>
        <w:ind w:left="360" w:hanging="360"/>
      </w:pPr>
      <w:r>
        <w:rPr>
          <w:rFonts w:ascii="Calibri" w:hAnsi="Calibri"/>
          <w:b/>
          <w:color w:val="525866"/>
          <w:sz w:val="22"/>
        </w:rPr>
        <w:t xml:space="preserve">Guidance Raised: </w:t>
      </w:r>
      <w:r>
        <w:rPr>
          <w:rFonts w:ascii="Calibri" w:hAnsi="Calibri"/>
          <w:color w:val="525866"/>
          <w:sz w:val="22"/>
        </w:rPr>
        <w:t>FY2026 adjusted sales raised by $2.5B to $95–96B; organic growth 8–9% (from 5–6%). Adjusted EPS raised to $7.10–$7.25. FCF raised to $8.5–$8.75B.</w:t>
      </w:r>
    </w:p>
    <w:p>
      <w:pPr>
        <w:pStyle w:val="ListBullet"/>
        <w:ind w:left="360" w:hanging="360"/>
      </w:pPr>
      <w:r>
        <w:rPr>
          <w:rFonts w:ascii="Calibri" w:hAnsi="Calibri"/>
          <w:b/>
          <w:color w:val="525866"/>
          <w:sz w:val="22"/>
        </w:rPr>
        <w:t xml:space="preserve">HONA Read-Through: </w:t>
      </w:r>
      <w:r>
        <w:rPr>
          <w:rFonts w:ascii="Calibri" w:hAnsi="Calibri"/>
          <w:color w:val="525866"/>
          <w:sz w:val="22"/>
        </w:rPr>
        <w:t>Strongly positive across all HONA segments. Collins’ OE ramp confirms Boeing/Airbus rate increases that benefit HONA’s OE business equally. Pratt’s aftermarket strength (+25%) is the most direct read-through for HONA’s engine-adjacent aftermarket. Defense budget tailwinds are consistent with HONA’s high single-digit Defense &amp; Space guide.</w:t>
      </w:r>
    </w:p>
    <w:p>
      <w:pPr>
        <w:pStyle w:val="Heading3"/>
      </w:pPr>
      <w:r>
        <w:rPr>
          <w:rFonts w:ascii="Calibri" w:hAnsi="Calibri"/>
          <w:b/>
          <w:color w:val="3B4259"/>
          <w:sz w:val="24"/>
        </w:rPr>
        <w:t>L3Harris Technologies (LHX) — Q2 2026 Earnings (July 29, 2026)</w:t>
      </w:r>
    </w:p>
    <w:p>
      <w:r>
        <w:rPr>
          <w:rFonts w:ascii="Calibri" w:hAnsi="Calibri"/>
          <w:b/>
          <w:color w:val="525866"/>
          <w:sz w:val="22"/>
        </w:rPr>
        <w:t xml:space="preserve">Relevance: </w:t>
      </w:r>
      <w:r>
        <w:rPr>
          <w:rFonts w:ascii="Calibri" w:hAnsi="Calibri"/>
          <w:color w:val="525866"/>
          <w:sz w:val="22"/>
        </w:rPr>
        <w:t>L3Harris is the primary read-through for HONA’s defense electronics, ISR, inertial navigation, and PNT segments. LHX also provides a signal on FAA civil aviation infrastructure modernization.</w:t>
      </w:r>
    </w:p>
    <w:p>
      <w:pPr>
        <w:pStyle w:val="ListBullet"/>
        <w:ind w:left="360" w:hanging="360"/>
      </w:pPr>
      <w:r>
        <w:rPr>
          <w:rFonts w:ascii="Calibri" w:hAnsi="Calibri"/>
          <w:b/>
          <w:color w:val="525866"/>
          <w:sz w:val="22"/>
        </w:rPr>
        <w:t xml:space="preserve">Demand: </w:t>
      </w:r>
      <w:r>
        <w:rPr>
          <w:rFonts w:ascii="Calibri" w:hAnsi="Calibri"/>
          <w:color w:val="525866"/>
          <w:sz w:val="22"/>
        </w:rPr>
        <w:t>"The demand signals are outstanding. We are actively negotiating more than $20 billion in new contracts potentially tripling our backlog." Investing in facilities to meet “accelerating demand for missiles and interceptors.” Geopolitical environment creating “tremendous demand on the military and our allies overseas.”</w:t>
      </w:r>
    </w:p>
    <w:p>
      <w:pPr>
        <w:pStyle w:val="ListBullet"/>
        <w:ind w:left="360" w:hanging="360"/>
      </w:pPr>
      <w:r>
        <w:rPr>
          <w:rFonts w:ascii="Calibri" w:hAnsi="Calibri"/>
          <w:b/>
          <w:color w:val="525866"/>
          <w:sz w:val="22"/>
        </w:rPr>
        <w:t xml:space="preserve">OE / Production Ramp: </w:t>
      </w:r>
      <w:r>
        <w:rPr>
          <w:rFonts w:ascii="Calibri" w:hAnsi="Calibri"/>
          <w:color w:val="525866"/>
          <w:sz w:val="22"/>
        </w:rPr>
        <w:t>Expanding production capacity by almost 1,000,000 sq ft; building 60 buildings for missiles alone. New GMLRS factory (Arsenal of Freedom Building) coming online August 2026, expected to “more than double capacity while reducing manufacturing times by 50%.” Framework agreement for 7 years of THAAD and PAC-3 production representing ~$12B of future revenue and $2B of future profit.</w:t>
      </w:r>
    </w:p>
    <w:p>
      <w:pPr>
        <w:pStyle w:val="ListBullet"/>
        <w:ind w:left="360" w:hanging="360"/>
      </w:pPr>
      <w:r>
        <w:rPr>
          <w:rFonts w:ascii="Calibri" w:hAnsi="Calibri"/>
          <w:b/>
          <w:color w:val="525866"/>
          <w:sz w:val="22"/>
        </w:rPr>
        <w:t xml:space="preserve">Defense Budget: </w:t>
      </w:r>
      <w:r>
        <w:rPr>
          <w:rFonts w:ascii="Calibri" w:hAnsi="Calibri"/>
          <w:color w:val="525866"/>
          <w:sz w:val="22"/>
        </w:rPr>
        <w:t>"I would expect that we’ll have the highest defence budget in our country’s history and a supplemental budget to fund multi-year munitions contracts." 2027 base budget request of $1.1T represents ~25% increase YoY.</w:t>
      </w:r>
    </w:p>
    <w:p>
      <w:pPr>
        <w:pStyle w:val="ListBullet"/>
        <w:ind w:left="360" w:hanging="360"/>
      </w:pPr>
      <w:r>
        <w:rPr>
          <w:rFonts w:ascii="Calibri" w:hAnsi="Calibri"/>
          <w:b/>
          <w:color w:val="525866"/>
          <w:sz w:val="22"/>
        </w:rPr>
        <w:t xml:space="preserve">FAA Contract (Civil Aviation Read-Through): </w:t>
      </w:r>
      <w:r>
        <w:rPr>
          <w:rFonts w:ascii="Calibri" w:hAnsi="Calibri"/>
          <w:color w:val="525866"/>
          <w:sz w:val="22"/>
        </w:rPr>
        <w:t xml:space="preserve">LHX awarded a $4B FAA contract (through 2046 if options exercised) to rebuild and modernize the FAA’s telecommunications infrastructure backbone, connecting every tower, radar facility, and air traffic control center across the U.S., including modernizing 700+ ground stations. </w:t>
      </w:r>
      <w:r>
        <w:rPr>
          <w:rFonts w:ascii="Calibri" w:hAnsi="Calibri"/>
          <w:b/>
          <w:color w:val="525866"/>
          <w:sz w:val="22"/>
        </w:rPr>
        <w:t>HONA Read-Through:</w:t>
      </w:r>
      <w:r>
        <w:rPr>
          <w:rFonts w:ascii="Calibri" w:hAnsi="Calibri"/>
          <w:color w:val="525866"/>
          <w:sz w:val="22"/>
        </w:rPr>
        <w:t xml:space="preserve"> As a key player in air traffic management and avionics, HONA stands to benefit from sustained government investment in civil aviation infrastructure modernization.</w:t>
      </w:r>
    </w:p>
    <w:p>
      <w:pPr>
        <w:pStyle w:val="ListBullet"/>
        <w:ind w:left="360" w:hanging="360"/>
      </w:pPr>
      <w:r>
        <w:rPr>
          <w:rFonts w:ascii="Calibri" w:hAnsi="Calibri"/>
          <w:b/>
          <w:color w:val="525866"/>
          <w:sz w:val="22"/>
        </w:rPr>
        <w:t xml:space="preserve">Guidance Raised: </w:t>
      </w:r>
      <w:r>
        <w:rPr>
          <w:rFonts w:ascii="Calibri" w:hAnsi="Calibri"/>
          <w:color w:val="525866"/>
          <w:sz w:val="22"/>
        </w:rPr>
        <w:t>FY2026 revenue raised by $200M to $23.2–23.7B; organic growth 8–10%. Diluted EPS raised by $0.40 to $11.80–12.00. FCF reaffirmed at $3B. Segment operating margin maintained at “low 16%.” Missile segment expected to grow “high teens over the next couple of years”; propulsion business “20% plus.”</w:t>
      </w:r>
    </w:p>
    <w:p>
      <w:pPr>
        <w:pStyle w:val="ListBullet"/>
        <w:ind w:left="360" w:hanging="360"/>
      </w:pPr>
      <w:r>
        <w:rPr>
          <w:rFonts w:ascii="Calibri" w:hAnsi="Calibri"/>
          <w:b/>
          <w:color w:val="525866"/>
          <w:sz w:val="22"/>
        </w:rPr>
        <w:t xml:space="preserve">HONA Read-Through: </w:t>
      </w:r>
      <w:r>
        <w:rPr>
          <w:rFonts w:ascii="Calibri" w:hAnsi="Calibri"/>
          <w:color w:val="525866"/>
          <w:sz w:val="22"/>
        </w:rPr>
        <w:t>Positive for HONA’s Defense &amp; Space segment, particularly Electronic Solutions (inertial navigation, PNT, defense avionics). The $20B+ contract negotiation pipeline and record defense budget environment are consistent with HONA’s high single-digit Defense &amp; Space growth guide. Caveat: LHX competes with HONA in some defense electronics categories; strong LHX wins may reflect budget share that HONA also participates in, but could also indicate competitive pressure.</w:t>
      </w:r>
    </w:p>
    <w:p>
      <w:pPr>
        <w:pStyle w:val="Heading3"/>
      </w:pPr>
      <w:r>
        <w:rPr>
          <w:rFonts w:ascii="Calibri" w:hAnsi="Calibri"/>
          <w:b/>
          <w:color w:val="3B4259"/>
          <w:sz w:val="24"/>
        </w:rPr>
        <w:t>Garmin (GRMN) — Q2 2026 Earnings (July 29, 2026)</w:t>
      </w:r>
    </w:p>
    <w:p>
      <w:r>
        <w:rPr>
          <w:rFonts w:ascii="Calibri" w:hAnsi="Calibri"/>
          <w:b/>
          <w:color w:val="525866"/>
          <w:sz w:val="22"/>
        </w:rPr>
        <w:t xml:space="preserve">Relevance: </w:t>
      </w:r>
      <w:r>
        <w:rPr>
          <w:rFonts w:ascii="Calibri" w:hAnsi="Calibri"/>
          <w:color w:val="525866"/>
          <w:sz w:val="22"/>
        </w:rPr>
        <w:t>Garmin is the most direct read-through for HONA’s business aviation avionics OE and aftermarket segments. Garmin’s G5000/G1000 suites compete with HONA’s Anthem and Primus cockpit systems in the bizjet market.</w:t>
      </w:r>
    </w:p>
    <w:p>
      <w:pPr>
        <w:pStyle w:val="ListBullet"/>
        <w:ind w:left="360" w:hanging="360"/>
      </w:pPr>
      <w:r>
        <w:rPr>
          <w:rFonts w:ascii="Calibri" w:hAnsi="Calibri"/>
          <w:b/>
          <w:color w:val="525866"/>
          <w:sz w:val="22"/>
        </w:rPr>
        <w:t xml:space="preserve">Business Aviation Demand: </w:t>
      </w:r>
      <w:r>
        <w:rPr>
          <w:rFonts w:ascii="Calibri" w:hAnsi="Calibri"/>
          <w:color w:val="525866"/>
          <w:sz w:val="22"/>
        </w:rPr>
        <w:t>"Business aviation continues to be strong." When asked about changes to demand drivers for H2 2026 and into 2027: "No, really, no changes at all. We see things kind of moving as they have been." OEMs are sitting on “pretty much record backlogs” as they work through them.</w:t>
      </w:r>
    </w:p>
    <w:p>
      <w:pPr>
        <w:pStyle w:val="ListBullet"/>
        <w:ind w:left="360" w:hanging="360"/>
      </w:pPr>
      <w:r>
        <w:rPr>
          <w:rFonts w:ascii="Calibri" w:hAnsi="Calibri"/>
          <w:b/>
          <w:color w:val="525866"/>
          <w:sz w:val="22"/>
        </w:rPr>
        <w:t xml:space="preserve">Aftermarket: </w:t>
      </w:r>
      <w:r>
        <w:rPr>
          <w:rFonts w:ascii="Calibri" w:hAnsi="Calibri"/>
          <w:color w:val="525866"/>
          <w:sz w:val="22"/>
        </w:rPr>
        <w:t>"The aftermarket side has been resilient and strong, even despite some of the bumps that we’ve seen in the near term with fuel prices and things like that." “Good used airplanes are things that people invest in and they add equipment to. And so that market has been resilient.”</w:t>
      </w:r>
    </w:p>
    <w:p>
      <w:pPr>
        <w:pStyle w:val="ListBullet"/>
        <w:ind w:left="360" w:hanging="360"/>
      </w:pPr>
      <w:r>
        <w:rPr>
          <w:rFonts w:ascii="Calibri" w:hAnsi="Calibri"/>
          <w:b/>
          <w:color w:val="525866"/>
          <w:sz w:val="22"/>
        </w:rPr>
        <w:t xml:space="preserve">New Product: </w:t>
      </w:r>
      <w:r>
        <w:rPr>
          <w:rFonts w:ascii="Calibri" w:hAnsi="Calibri"/>
          <w:color w:val="525866"/>
          <w:sz w:val="22"/>
        </w:rPr>
        <w:t>Garmin announced “Axis,” a new family of highly integrated and scalable cockpit display solutions for certified and experimental aircraft, combining navigation, communication, and audio into a single platform. Reception described as “very strong.”</w:t>
      </w:r>
    </w:p>
    <w:p>
      <w:pPr>
        <w:pStyle w:val="ListBullet"/>
        <w:ind w:left="360" w:hanging="360"/>
      </w:pPr>
      <w:r>
        <w:rPr>
          <w:rFonts w:ascii="Calibri" w:hAnsi="Calibri"/>
          <w:b/>
          <w:color w:val="525866"/>
          <w:sz w:val="22"/>
        </w:rPr>
        <w:t xml:space="preserve">Supply Chain: </w:t>
      </w:r>
      <w:r>
        <w:rPr>
          <w:rFonts w:ascii="Calibri" w:hAnsi="Calibri"/>
          <w:color w:val="525866"/>
          <w:sz w:val="22"/>
        </w:rPr>
        <w:t>Higher memory costs expected to impact H2 2026, factored into gross margin guidance. “Everyone is facing higher costs, especially in the area of memory” due to AI demand. Garmin’s new Thailand facility on track, expected to be finished by year-end with utilization starting early 2027.</w:t>
      </w:r>
    </w:p>
    <w:p>
      <w:pPr>
        <w:pStyle w:val="ListBullet"/>
        <w:ind w:left="360" w:hanging="360"/>
      </w:pPr>
      <w:r>
        <w:rPr>
          <w:rFonts w:ascii="Calibri" w:hAnsi="Calibri"/>
          <w:b/>
          <w:color w:val="525866"/>
          <w:sz w:val="22"/>
        </w:rPr>
        <w:t xml:space="preserve">Guidance Raised: </w:t>
      </w:r>
      <w:r>
        <w:rPr>
          <w:rFonts w:ascii="Calibri" w:hAnsi="Calibri"/>
          <w:color w:val="525866"/>
          <w:sz w:val="22"/>
        </w:rPr>
        <w:t>FY2026 revenue raised to ~$8.05B (from $7.9B). Pro forma EPS ~$10/share. Gross margin raised to ~59.7% (+120bps vs. prior guide). Operating margin ~27% (+150bps vs. prior guide).</w:t>
      </w:r>
    </w:p>
    <w:p>
      <w:pPr>
        <w:pStyle w:val="ListBullet"/>
        <w:ind w:left="360" w:hanging="360"/>
      </w:pPr>
      <w:r>
        <w:rPr>
          <w:rFonts w:ascii="Calibri" w:hAnsi="Calibri"/>
          <w:b/>
          <w:color w:val="525866"/>
          <w:sz w:val="22"/>
        </w:rPr>
        <w:t xml:space="preserve">HONA Read-Through: </w:t>
      </w:r>
      <w:r>
        <w:rPr>
          <w:rFonts w:ascii="Calibri" w:hAnsi="Calibri"/>
          <w:color w:val="525866"/>
          <w:sz w:val="22"/>
        </w:rPr>
        <w:t>Positive for HONA’s business aviation OE and aftermarket. Record OEM backlogs and resilient aftermarket are consistent with HONA’s “consistent and resilient” business aviation commentary from the June 3 Investor Day. Caveat: Garmin’s overall financials are heavily influenced by consumer electronics (fitness, outdoor, marine, auto OEM) segments; the aviation-specific commentary is the relevant read-through, not the headline numbers.</w:t>
      </w:r>
    </w:p>
    <w:p>
      <w:pPr>
        <w:pStyle w:val="Heading3"/>
      </w:pPr>
      <w:r>
        <w:rPr>
          <w:rFonts w:ascii="Calibri" w:hAnsi="Calibri"/>
          <w:b/>
          <w:color w:val="3B4259"/>
          <w:sz w:val="24"/>
        </w:rPr>
        <w:t>TransDigm Group (TDG) — Q3 FY2026 Earnings (August 4, 2026)</w:t>
      </w:r>
    </w:p>
    <w:p>
      <w:r>
        <w:rPr>
          <w:rFonts w:ascii="Calibri" w:hAnsi="Calibri"/>
          <w:b/>
          <w:color w:val="525866"/>
          <w:sz w:val="22"/>
        </w:rPr>
        <w:t xml:space="preserve">Relevance: </w:t>
      </w:r>
      <w:r>
        <w:rPr>
          <w:rFonts w:ascii="Calibri" w:hAnsi="Calibri"/>
          <w:color w:val="525866"/>
          <w:sz w:val="22"/>
        </w:rPr>
        <w:t>TransDigm is a pure-play proprietary aerospace aftermarket components company and the most direct read-through for HONA’s commercial aftermarket pricing power and volume trends. TDG’s fiscal Q3 2026 covers the calendar quarter ending June 2026 — the same period HONA is reporting.</w:t>
      </w:r>
    </w:p>
    <w:p>
      <w:pPr>
        <w:pStyle w:val="ListBullet"/>
        <w:ind w:left="360" w:hanging="360"/>
      </w:pPr>
      <w:r>
        <w:rPr>
          <w:rFonts w:ascii="Calibri" w:hAnsi="Calibri"/>
          <w:b/>
          <w:color w:val="525866"/>
          <w:sz w:val="22"/>
        </w:rPr>
        <w:t xml:space="preserve">Commercial Aftermarket: </w:t>
      </w:r>
      <w:r>
        <w:rPr>
          <w:rFonts w:ascii="Calibri" w:hAnsi="Calibri"/>
          <w:color w:val="525866"/>
          <w:sz w:val="22"/>
        </w:rPr>
        <w:t>Commercial transport aftermarket revenue growth (excluding bizjet) up 18% in fiscal Q3. Raised FY2026 commercial aftermarket guidance from “high-single-digit to low-double-digit” to “low-double-digit.” Bookings delivered ahead of expectations for the third consecutive quarter. Point-of-sale at distributors grew double digits. “We have not yet seen any meaningful slowdowns in our commercial aftermarket” despite Middle East RPM declines and higher fuel prices.</w:t>
      </w:r>
    </w:p>
    <w:p>
      <w:pPr>
        <w:pStyle w:val="ListBullet"/>
        <w:ind w:left="360" w:hanging="360"/>
      </w:pPr>
      <w:r>
        <w:rPr>
          <w:rFonts w:ascii="Calibri" w:hAnsi="Calibri"/>
          <w:b/>
          <w:color w:val="525866"/>
          <w:sz w:val="22"/>
        </w:rPr>
        <w:t xml:space="preserve">Commercial OE: </w:t>
      </w:r>
      <w:r>
        <w:rPr>
          <w:rFonts w:ascii="Calibri" w:hAnsi="Calibri"/>
          <w:color w:val="525866"/>
          <w:sz w:val="22"/>
        </w:rPr>
        <w:t>Commercial transport OEM revenues (excluding bizjet) up 25%. “As Boeing and Airbus production rates continue to climb, we anticipate continued strength in the commercial OEM market.” Commercial OEM bookings posted double-digit growth, “significantly outpacing sales.” Book-to-bill remains solidly positive. FY2026 commercial OEM guidance: mid-teens growth.</w:t>
      </w:r>
    </w:p>
    <w:p>
      <w:pPr>
        <w:pStyle w:val="ListBullet"/>
        <w:ind w:left="360" w:hanging="360"/>
      </w:pPr>
      <w:r>
        <w:rPr>
          <w:rFonts w:ascii="Calibri" w:hAnsi="Calibri"/>
          <w:b/>
          <w:color w:val="525866"/>
          <w:sz w:val="22"/>
        </w:rPr>
        <w:t xml:space="preserve">Defense: </w:t>
      </w:r>
      <w:r>
        <w:rPr>
          <w:rFonts w:ascii="Calibri" w:hAnsi="Calibri"/>
          <w:color w:val="525866"/>
          <w:sz w:val="22"/>
        </w:rPr>
        <w:t>Defense revenue growth expected in “high-single-digit to low-double-digit” range for FY2026. Defense bookings increased nicely YoY and sequentially, outpacing sales. “The current environment remains positive for defense spending and the global defense outlook continues to indicate this end market will remain solid heading into next year.”</w:t>
      </w:r>
    </w:p>
    <w:p>
      <w:pPr>
        <w:pStyle w:val="ListBullet"/>
        <w:ind w:left="360" w:hanging="360"/>
      </w:pPr>
      <w:r>
        <w:rPr>
          <w:rFonts w:ascii="Calibri" w:hAnsi="Calibri"/>
          <w:b/>
          <w:color w:val="525866"/>
          <w:sz w:val="22"/>
        </w:rPr>
        <w:t xml:space="preserve">Supply Chain: </w:t>
      </w:r>
      <w:r>
        <w:rPr>
          <w:rFonts w:ascii="Calibri" w:hAnsi="Calibri"/>
          <w:color w:val="525866"/>
          <w:sz w:val="22"/>
        </w:rPr>
        <w:t>“The supply chain as a whole we think is reasonably solid, but it’s something we continue to monitor.” Suppliers have performed well enough to maintain TDG’s position and support Boeing and Airbus.</w:t>
      </w:r>
    </w:p>
    <w:p>
      <w:pPr>
        <w:pStyle w:val="ListBullet"/>
        <w:ind w:left="360" w:hanging="360"/>
      </w:pPr>
      <w:r>
        <w:rPr>
          <w:rFonts w:ascii="Calibri" w:hAnsi="Calibri"/>
          <w:b/>
          <w:color w:val="525866"/>
          <w:sz w:val="22"/>
        </w:rPr>
        <w:t xml:space="preserve">Pricing / Margins: </w:t>
      </w:r>
      <w:r>
        <w:rPr>
          <w:rFonts w:ascii="Calibri" w:hAnsi="Calibri"/>
          <w:color w:val="525866"/>
          <w:sz w:val="22"/>
        </w:rPr>
        <w:t>Constant-mix margin improvement target of 1.0–1.5 percentage points YoY unchanged. EBITDA As Defined margin 52.8% in Q3 (includes 2+ points of acquisition dilution). “That’s not going to change anytime in the near future either going forward.”</w:t>
      </w:r>
    </w:p>
    <w:p>
      <w:pPr>
        <w:pStyle w:val="ListBullet"/>
        <w:ind w:left="360" w:hanging="360"/>
      </w:pPr>
      <w:r>
        <w:rPr>
          <w:rFonts w:ascii="Calibri" w:hAnsi="Calibri"/>
          <w:b/>
          <w:color w:val="525866"/>
          <w:sz w:val="22"/>
        </w:rPr>
        <w:t xml:space="preserve">Guidance Raised: </w:t>
      </w:r>
      <w:r>
        <w:rPr>
          <w:rFonts w:ascii="Calibri" w:hAnsi="Calibri"/>
          <w:color w:val="525866"/>
          <w:sz w:val="22"/>
        </w:rPr>
        <w:t>FY2026 revenue guidance raised by $150M at midpoint to $10.51B (~19% growth). EBITDA As Defined raised by $100M to $5.52B (~52.5% margin). Adjusted EPS midpoint $41.04. FCF guidance raised to ~$2.6B.</w:t>
      </w:r>
    </w:p>
    <w:p>
      <w:pPr>
        <w:pStyle w:val="ListBullet"/>
        <w:ind w:left="360" w:hanging="360"/>
      </w:pPr>
      <w:r>
        <w:rPr>
          <w:rFonts w:ascii="Calibri" w:hAnsi="Calibri"/>
          <w:b/>
          <w:color w:val="525866"/>
          <w:sz w:val="22"/>
        </w:rPr>
        <w:t xml:space="preserve">Acquisition: </w:t>
      </w:r>
      <w:r>
        <w:rPr>
          <w:rFonts w:ascii="Calibri" w:hAnsi="Calibri"/>
          <w:color w:val="525866"/>
          <w:sz w:val="22"/>
        </w:rPr>
        <w:t>Agreed to acquire Prince &amp; Izant for ~$1.1B — a leading manufacturer of brazing alloys and specialty components for aerospace/defense and aeroderivative turbines, including engine platforms (fuel nozzles, rocket engines). Expected to generate ~$360M revenue in 2026.</w:t>
      </w:r>
    </w:p>
    <w:p>
      <w:pPr>
        <w:pStyle w:val="ListBullet"/>
        <w:ind w:left="360" w:hanging="360"/>
      </w:pPr>
      <w:r>
        <w:rPr>
          <w:rFonts w:ascii="Calibri" w:hAnsi="Calibri"/>
          <w:b/>
          <w:color w:val="525866"/>
          <w:sz w:val="22"/>
        </w:rPr>
        <w:t xml:space="preserve">HONA Read-Through: </w:t>
      </w:r>
      <w:r>
        <w:rPr>
          <w:rFonts w:ascii="Calibri" w:hAnsi="Calibri"/>
          <w:color w:val="525866"/>
          <w:sz w:val="22"/>
        </w:rPr>
        <w:t>Strongly positive for HONA’s commercial aftermarket. TDG’s 18% commercial transport aftermarket growth and raised guidance is the most direct demand signal for HONA’s aftermarket segment. The “reasonably solid” supply chain assessment is consistent with HONA’s recovery narrative. Caveat: TDG’s bizjet aftermarket is tracked separately and not disclosed — the 18% figure excludes bizjet, so HONA’s bizjet-heavy aftermarket mix may see different dynamics.</w:t>
      </w:r>
    </w:p>
    <w:p>
      <w:pPr>
        <w:pStyle w:val="Heading3"/>
      </w:pPr>
      <w:r>
        <w:rPr>
          <w:rFonts w:ascii="Calibri" w:hAnsi="Calibri"/>
          <w:b/>
          <w:color w:val="3B4259"/>
          <w:sz w:val="24"/>
        </w:rPr>
        <w:t>Consolidated Peer Read-Through: Key Themes for HONA Q2 2026</w:t>
      </w:r>
    </w:p>
    <w:p>
      <w:pPr>
        <w:pStyle w:val="ListBullet"/>
        <w:ind w:left="360" w:hanging="360"/>
      </w:pPr>
      <w:r>
        <w:rPr>
          <w:rFonts w:ascii="Calibri" w:hAnsi="Calibri"/>
          <w:b/>
          <w:color w:val="525866"/>
          <w:sz w:val="22"/>
        </w:rPr>
        <w:t xml:space="preserve">Commercial Aftermarket: </w:t>
      </w:r>
      <w:r>
        <w:rPr>
          <w:rFonts w:ascii="Calibri" w:hAnsi="Calibri"/>
          <w:color w:val="525866"/>
          <w:sz w:val="22"/>
        </w:rPr>
        <w:t>All peers (GE +32% H1, RTX +18% Q2, TDG +18% Q3) reported strong and accelerating aftermarket demand. No peer has seen material impact from Middle East RPM declines or higher fuel prices. This is the most consistent and bullish read-through for HONA’s largest revenue segment.</w:t>
      </w:r>
    </w:p>
    <w:p>
      <w:pPr>
        <w:pStyle w:val="ListBullet"/>
        <w:ind w:left="360" w:hanging="360"/>
      </w:pPr>
      <w:r>
        <w:rPr>
          <w:rFonts w:ascii="Calibri" w:hAnsi="Calibri"/>
          <w:b/>
          <w:color w:val="525866"/>
          <w:sz w:val="22"/>
        </w:rPr>
        <w:t xml:space="preserve">Commercial OE: </w:t>
      </w:r>
      <w:r>
        <w:rPr>
          <w:rFonts w:ascii="Calibri" w:hAnsi="Calibri"/>
          <w:color w:val="525866"/>
          <w:sz w:val="22"/>
        </w:rPr>
        <w:t>Boeing and Airbus production rate increases are flowing through to all suppliers. GE LEAP deliveries +41% H1, RTX Collins OE ramp, TDG commercial OEM +25%. HONA’s OE business should benefit from the same rate increases.</w:t>
      </w:r>
    </w:p>
    <w:p>
      <w:pPr>
        <w:pStyle w:val="ListBullet"/>
        <w:ind w:left="360" w:hanging="360"/>
      </w:pPr>
      <w:r>
        <w:rPr>
          <w:rFonts w:ascii="Calibri" w:hAnsi="Calibri"/>
          <w:b/>
          <w:color w:val="525866"/>
          <w:sz w:val="22"/>
        </w:rPr>
        <w:t xml:space="preserve">Defense: </w:t>
      </w:r>
      <w:r>
        <w:rPr>
          <w:rFonts w:ascii="Calibri" w:hAnsi="Calibri"/>
          <w:color w:val="525866"/>
          <w:sz w:val="22"/>
        </w:rPr>
        <w:t>Record defense budgets, international demand acceleration, and multi-year framework agreements are driving high-single to low-double-digit growth across all defense-exposed peers. HONA’s high single-digit Defense &amp; Space guide appears conservative relative to peer actuals.</w:t>
      </w:r>
    </w:p>
    <w:p>
      <w:pPr>
        <w:pStyle w:val="ListBullet"/>
        <w:ind w:left="360" w:hanging="360"/>
      </w:pPr>
      <w:r>
        <w:rPr>
          <w:rFonts w:ascii="Calibri" w:hAnsi="Calibri"/>
          <w:b/>
          <w:color w:val="525866"/>
          <w:sz w:val="22"/>
        </w:rPr>
        <w:t xml:space="preserve">Business Aviation: </w:t>
      </w:r>
      <w:r>
        <w:rPr>
          <w:rFonts w:ascii="Calibri" w:hAnsi="Calibri"/>
          <w:color w:val="525866"/>
          <w:sz w:val="22"/>
        </w:rPr>
        <w:t>Garmin confirms “record OEM backlogs” and “resilient and strong” aftermarket. Consistent with HONA’s own “consistent and resilient” business aviation commentary.</w:t>
      </w:r>
    </w:p>
    <w:p>
      <w:pPr>
        <w:pStyle w:val="ListBullet"/>
        <w:ind w:left="360" w:hanging="360"/>
      </w:pPr>
      <w:r>
        <w:rPr>
          <w:rFonts w:ascii="Calibri" w:hAnsi="Calibri"/>
          <w:b/>
          <w:color w:val="525866"/>
          <w:sz w:val="22"/>
        </w:rPr>
        <w:t xml:space="preserve">Supply Chain: </w:t>
      </w:r>
      <w:r>
        <w:rPr>
          <w:rFonts w:ascii="Calibri" w:hAnsi="Calibri"/>
          <w:color w:val="525866"/>
          <w:sz w:val="22"/>
        </w:rPr>
        <w:t>GE’s 20% sequential increase in spare parts delinquency is the one cautionary note — material availability constraints persist industry-wide. TDG describes supply chain as “reasonably solid.” For HONA, the key question is whether the Q1 mechanical supply-chain disruption in Engines &amp; Power Systems has fully resolved.</w:t>
      </w:r>
    </w:p>
    <w:p>
      <w:pPr>
        <w:pStyle w:val="ListBullet"/>
        <w:ind w:left="360" w:hanging="360"/>
      </w:pPr>
      <w:r>
        <w:rPr>
          <w:rFonts w:ascii="Calibri" w:hAnsi="Calibri"/>
          <w:b/>
          <w:color w:val="525866"/>
          <w:sz w:val="22"/>
        </w:rPr>
        <w:t xml:space="preserve">Guidance Trajectory: </w:t>
      </w:r>
      <w:r>
        <w:rPr>
          <w:rFonts w:ascii="Calibri" w:hAnsi="Calibri"/>
          <w:color w:val="525866"/>
          <w:sz w:val="22"/>
        </w:rPr>
        <w:t>Every peer raised full-year guidance. If HONA’s Q2 results are in line with the peer read-through, management may have room to raise or tighten FY2026 guidance on the call — which would be a significant positive catalyst for the stock.</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