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hsic-earnings-predictions--2026-08-04"/>
    <w:p>
      <w:pPr>
        <w:pStyle w:val="Heading1"/>
      </w:pPr>
      <w:r>
        <w:t xml:space="preserve">HSIC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HSIC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1.28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1.25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HSIC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3.42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3.40B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HSIC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289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282M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HSIC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non-GAAP EPS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5.28</m:t>
              </m:r>
              <m:r>
                <m:rPr>
                  <m:sty m:val="p"/>
                </m:rPr>
                <m:t>−</m:t>
              </m:r>
              <m:r>
                <m:t>5.40</m:t>
              </m:r>
              <m:r>
                <m:rPr>
                  <m:sty m:val="p"/>
                </m:rPr>
                <m:t>(</m:t>
              </m:r>
              <m:r>
                <m:t>n</m:t>
              </m:r>
              <m:r>
                <m:t>a</m:t>
              </m:r>
              <m:r>
                <m:t>r</m:t>
              </m:r>
              <m:r>
                <m:t>r</m:t>
              </m:r>
              <m:r>
                <m:t>o</m:t>
              </m:r>
              <m:r>
                <m:t>w</m:t>
              </m:r>
              <m:r>
                <m:t>t</m:t>
              </m:r>
              <m:r>
                <m:t>o</m:t>
              </m:r>
              <m:r>
                <m:t>h</m:t>
              </m:r>
              <m:r>
                <m:t>i</m:t>
              </m:r>
              <m:r>
                <m:t>g</m:t>
              </m:r>
              <m:r>
                <m:t>h</m:t>
              </m:r>
              <m:r>
                <m:t>e</m:t>
              </m:r>
              <m:r>
                <m:t>n</m:t>
              </m:r>
              <m:r>
                <m:t>d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5.31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HSIC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net sales growth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~+3-5% vs. cons ~+4.5%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HSIC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Value-creation savings run-rate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125</m:t>
              </m:r>
              <m:r>
                <m:t>M</m:t>
              </m:r>
              <m:r>
                <m:t>r</m:t>
              </m:r>
              <m:r>
                <m:t>u</m:t>
              </m:r>
              <m:r>
                <m:t>n</m:t>
              </m:r>
              <m:r>
                <m:rPr>
                  <m:sty m:val="p"/>
                </m:rPr>
                <m:t>−</m:t>
              </m:r>
              <m:r>
                <m:t>r</m:t>
              </m:r>
              <m:r>
                <m:t>a</m:t>
              </m:r>
              <m:r>
                <m:t>t</m:t>
              </m:r>
              <m:r>
                <m:t>e</m:t>
              </m:r>
              <m:r>
                <m:t>b</m:t>
              </m:r>
              <m:r>
                <m:t>y</m:t>
              </m:r>
              <m:r>
                <m:t>Y</m:t>
              </m:r>
              <m:r>
                <m:t>E</m:t>
              </m:r>
              <m:r>
                <m:t>2026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125M (2H26-weighted, &gt;$200M target)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HSIC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EBITDA growth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~mid-single-digit growth off ~$1.1B vs. cons ~+5-6%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HSIC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HSIC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-3.0% (FADE)</w:t>
            </w:r>
          </w:p>
        </w:tc>
        <w:tc>
          <w:tcPr/>
          <w:p>
            <w:pPr>
              <w:pStyle w:val="Compact"/>
            </w:pPr>
            <w:r>
              <w:t xml:space="preserve">Stock is up ~+18% into the print and sits near 52-week highs, so a modest EPS/EBITDA beat on an easy year-ago comp is largely discounted; guidance is more likely a narrow-to-high-end than a clean raise, and savings are back-half weighted so out-period EPS estimates get nudged only marginally. Combined with the fresh, unquantified management reorg (potential new restructuring charges) and JV-remeasurement/buyback-flattered EPS quality questions, the setup skews to a sell-the-news fade with limited positive revision fuel.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2026-08-04T00:08:10Z</dcterms:created>
  <dcterms:modified xsi:type="dcterms:W3CDTF">2026-08-04T00:08:10Z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