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ic-earnings-predictions--2026-08-04"/>
    <w:p>
      <w:pPr>
        <w:pStyle w:val="Heading1"/>
      </w:pPr>
      <w:r>
        <w:t xml:space="preserve">HSIC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~$3.43B vs. cons $3.37B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~$272M vs. cons $270M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~$5.30 midpoint vs. cons $5.32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~5% vs. cons 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Value-creation operating-income run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~$125M vs. cons $125M (year-end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Q2 beat should initially lift the stock, but an unchanged ~</w:t>
            </w:r>
            <m:oMath>
              <m:r>
                <m:t>5.30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2.59 implies only ~</w:t>
            </w:r>
            <m:oMath>
              <m:r>
                <m:t>2.71</m:t>
              </m:r>
              <m:r>
                <m:t>f</m:t>
              </m:r>
              <m:r>
                <m:t>o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2.76. That implicit out-period reduction should limit estimate revisions and fade most of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2026-08-04T00:08:34Z</dcterms:created>
  <dcterms:modified xsi:type="dcterms:W3CDTF">2026-08-04T00:08:34Z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