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hsic-q2-2026-earnings-preview"/>
    <w:p>
      <w:pPr>
        <w:pStyle w:val="Heading1"/>
      </w:pPr>
      <w:r>
        <w:t xml:space="preserve">HSIC Q2 2026 Earnings Preview</w:t>
      </w:r>
    </w:p>
    <w:p>
      <w:pPr>
        <w:pStyle w:val="FirstParagraph"/>
      </w:pPr>
      <w:r>
        <w:rPr>
          <w:b/>
          <w:bCs/>
        </w:rPr>
        <w:t xml:space="preserve">Report:</w:t>
      </w:r>
      <w:r>
        <w:t xml:space="preserve"> </w:t>
      </w:r>
      <w:r>
        <w:t xml:space="preserve">Tuesday, August 4, 2026, before the market opens</w:t>
      </w:r>
      <w:r>
        <w:br/>
      </w:r>
      <w:r>
        <w:rPr>
          <w:b/>
          <w:bCs/>
        </w:rPr>
        <w:t xml:space="preserve">Conference call:</w:t>
      </w:r>
      <w:r>
        <w:t xml:space="preserve"> </w:t>
      </w:r>
      <w:r>
        <w:t xml:space="preserve">8:00 a.m. ET</w:t>
      </w:r>
    </w:p>
    <w:bookmarkStart w:id="9" w:name="executive-view"/>
    <w:p>
      <w:pPr>
        <w:pStyle w:val="Heading2"/>
      </w:pPr>
      <w:r>
        <w:t xml:space="preserve">Executive view</w:t>
      </w:r>
    </w:p>
    <w:p>
      <w:pPr>
        <w:pStyle w:val="FirstParagraph"/>
      </w:pPr>
      <w:r>
        <w:t xml:space="preserve">Henry Schein enters the quarter with improving dental demand, early gross-margin progress, and a sizable cost and productivity program—but also with a substantially higher stock price and therefore a higher expectations bar.</w:t>
      </w:r>
    </w:p>
    <w:p>
      <w:pPr>
        <w:pStyle w:val="BodyText"/>
      </w:pPr>
      <w:r>
        <w:t xml:space="preserve">A simple EPS beat may not be enough. The more important questions are:</w:t>
      </w:r>
    </w:p>
    <w:p>
      <w:pPr>
        <w:pStyle w:val="Compact"/>
        <w:numPr>
          <w:ilvl w:val="0"/>
          <w:numId w:val="1001"/>
        </w:numPr>
      </w:pPr>
      <w:r>
        <w:t xml:space="preserve">Is organic growth accelerating beyond Q1’s 2.5%?</w:t>
      </w:r>
    </w:p>
    <w:p>
      <w:pPr>
        <w:pStyle w:val="Compact"/>
        <w:numPr>
          <w:ilvl w:val="0"/>
          <w:numId w:val="1001"/>
        </w:numPr>
      </w:pPr>
      <w:r>
        <w:t xml:space="preserve">Are value-creation initiatives beginning to produce visible, recurring margin benefits?</w:t>
      </w:r>
    </w:p>
    <w:p>
      <w:pPr>
        <w:pStyle w:val="Compact"/>
        <w:numPr>
          <w:ilvl w:val="0"/>
          <w:numId w:val="1001"/>
        </w:numPr>
      </w:pPr>
      <w:r>
        <w:t xml:space="preserve">Can Specialty Products and Medical improve as management predicted?</w:t>
      </w:r>
    </w:p>
    <w:p>
      <w:pPr>
        <w:pStyle w:val="Compact"/>
        <w:numPr>
          <w:ilvl w:val="0"/>
          <w:numId w:val="1001"/>
        </w:numPr>
      </w:pPr>
      <w:r>
        <w:t xml:space="preserve">Does management maintain or raise its 2026 outlook?</w:t>
      </w:r>
    </w:p>
    <w:p>
      <w:pPr>
        <w:pStyle w:val="Compact"/>
        <w:numPr>
          <w:ilvl w:val="0"/>
          <w:numId w:val="1001"/>
        </w:numPr>
      </w:pPr>
      <w:r>
        <w:t xml:space="preserve">How should investors interpret the leadership restructuring announced just days before earnings?</w:t>
      </w:r>
    </w:p>
    <w:bookmarkEnd w:id="9"/>
    <w:bookmarkStart w:id="12" w:name="street-expectations"/>
    <w:p>
      <w:pPr>
        <w:pStyle w:val="Heading2"/>
      </w:pPr>
      <w:r>
        <w:t xml:space="preserve">Street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~$3.37 billion</w:t>
            </w:r>
          </w:p>
        </w:tc>
        <w:tc>
          <w:tcPr/>
          <w:p>
            <w:pPr>
              <w:pStyle w:val="Compact"/>
              <w:jc w:val="right"/>
            </w:pPr>
            <w:r>
              <w:t xml:space="preserve">$3.24 billion</w:t>
            </w:r>
          </w:p>
        </w:tc>
        <w:tc>
          <w:tcPr/>
          <w:p>
            <w:pPr>
              <w:pStyle w:val="Compact"/>
              <w:jc w:val="right"/>
            </w:pPr>
            <w:r>
              <w:rPr>
                <w:b/>
                <w:bCs/>
              </w:rPr>
              <w:t xml:space="preserve">~4%</w:t>
            </w:r>
          </w:p>
        </w:tc>
      </w:tr>
      <w:tr>
        <w:tc>
          <w:tcPr/>
          <w:p>
            <w:pPr>
              <w:pStyle w:val="Compact"/>
            </w:pPr>
            <w:r>
              <w:t xml:space="preserve">Adjusted EPS</w:t>
            </w:r>
          </w:p>
        </w:tc>
        <w:tc>
          <w:tcPr/>
          <w:p>
            <w:pPr>
              <w:pStyle w:val="Compact"/>
              <w:jc w:val="right"/>
            </w:pPr>
            <m:oMath>
              <m:r>
                <m:t>1.23</m:t>
              </m:r>
              <m:r>
                <m:rPr>
                  <m:sty m:val="p"/>
                </m:rPr>
                <m:t>–</m:t>
              </m:r>
            </m:oMath>
            <w:r>
              <w:rPr>
                <w:b/>
                <w:bCs/>
              </w:rPr>
              <w:t xml:space="preserve">1.24</w:t>
            </w:r>
          </w:p>
        </w:tc>
        <w:tc>
          <w:tcPr/>
          <w:p>
            <w:pPr>
              <w:pStyle w:val="Compact"/>
              <w:jc w:val="right"/>
            </w:pPr>
            <w:r>
              <w:t xml:space="preserve">$1.10</w:t>
            </w:r>
          </w:p>
        </w:tc>
        <w:tc>
          <w:tcPr/>
          <w:p>
            <w:pPr>
              <w:pStyle w:val="Compact"/>
              <w:jc w:val="right"/>
            </w:pPr>
            <w:r>
              <w:rPr>
                <w:b/>
                <w:bCs/>
              </w:rPr>
              <w:t xml:space="preserve">~12%–13%</w:t>
            </w:r>
          </w:p>
        </w:tc>
      </w:tr>
    </w:tbl>
    <w:p>
      <w:pPr>
        <w:pStyle w:val="BodyText"/>
      </w:pPr>
      <w:r>
        <w:t xml:space="preserve">Published estimates vary slightly by provider, but generally cluster around $3.37 billion of revenue and</w:t>
      </w:r>
      <w:r>
        <w:t xml:space="preserve"> </w:t>
      </w:r>
      <m:oMath>
        <m:r>
          <m:t>1.23</m:t>
        </m:r>
        <m:r>
          <m:rPr>
            <m:sty m:val="p"/>
          </m:rPr>
          <m:t>–</m:t>
        </m:r>
      </m:oMath>
      <w:r>
        <w:t xml:space="preserve">1.24 of adjusted EPS. (</w:t>
      </w:r>
      <w:hyperlink r:id="rId10">
        <w:r>
          <w:rPr>
            <w:rStyle w:val="Hyperlink"/>
          </w:rPr>
          <w:t xml:space="preserve">benzinga.com</w:t>
        </w:r>
      </w:hyperlink>
      <w:r>
        <w:t xml:space="preserve">)</w:t>
      </w:r>
    </w:p>
    <w:p>
      <w:pPr>
        <w:pStyle w:val="BodyText"/>
      </w:pPr>
      <w:r>
        <w:t xml:space="preserve">Henry Schein currently guides to:</w:t>
      </w:r>
    </w:p>
    <w:p>
      <w:pPr>
        <w:pStyle w:val="Compact"/>
        <w:numPr>
          <w:ilvl w:val="0"/>
          <w:numId w:val="1002"/>
        </w:numPr>
      </w:pPr>
      <w:r>
        <w:rPr>
          <w:b/>
          <w:bCs/>
        </w:rPr>
        <w:t xml:space="preserve">3%–5% full-year sales growth</w:t>
      </w:r>
    </w:p>
    <w:p>
      <w:pPr>
        <w:pStyle w:val="Compact"/>
        <w:numPr>
          <w:ilvl w:val="0"/>
          <w:numId w:val="1002"/>
        </w:numPr>
      </w:pPr>
      <m:oMath>
        <m:r>
          <m:t>5.23</m:t>
        </m:r>
        <m:r>
          <m:rPr>
            <m:sty m:val="p"/>
          </m:rPr>
          <m:t>–</m:t>
        </m:r>
      </m:oMath>
      <w:r>
        <w:rPr>
          <w:b/>
          <w:bCs/>
        </w:rPr>
        <w:t xml:space="preserve">5.37 of non-GAAP EPS</w:t>
      </w:r>
    </w:p>
    <w:p>
      <w:pPr>
        <w:pStyle w:val="Compact"/>
        <w:numPr>
          <w:ilvl w:val="0"/>
          <w:numId w:val="1002"/>
        </w:numPr>
      </w:pPr>
      <w:r>
        <w:rPr>
          <w:b/>
          <w:bCs/>
        </w:rPr>
        <w:t xml:space="preserve">Mid-single-digit adjusted EBITDA growth</w:t>
      </w:r>
    </w:p>
    <w:p>
      <w:pPr>
        <w:pStyle w:val="Compact"/>
        <w:numPr>
          <w:ilvl w:val="0"/>
          <w:numId w:val="1002"/>
        </w:numPr>
      </w:pPr>
      <w:r>
        <w:t xml:space="preserve">A</w:t>
      </w:r>
      <w:r>
        <w:t xml:space="preserve"> </w:t>
      </w:r>
      <w:r>
        <w:rPr>
          <w:b/>
          <w:bCs/>
        </w:rPr>
        <w:t xml:space="preserve">$125 million annualized operating-income improvement run rate by year-end 2026</w:t>
      </w:r>
      <w:r>
        <w:t xml:space="preserve">, rising to more than $200 million over the next few years. (</w:t>
      </w:r>
      <w:hyperlink r:id="rId11">
        <w:r>
          <w:rPr>
            <w:rStyle w:val="Hyperlink"/>
          </w:rPr>
          <w:t xml:space="preserve">investor.henryschein.com</w:t>
        </w:r>
      </w:hyperlink>
      <w:r>
        <w:t xml:space="preserve">)</w:t>
      </w:r>
    </w:p>
    <w:bookmarkEnd w:id="12"/>
    <w:bookmarkStart w:id="19" w:name="what-matters-most"/>
    <w:p>
      <w:pPr>
        <w:pStyle w:val="Heading2"/>
      </w:pPr>
      <w:r>
        <w:t xml:space="preserve">What matters most</w:t>
      </w:r>
    </w:p>
    <w:bookmarkStart w:id="14" w:name="Xe5f20702680291792238586312d977a9b32aed5"/>
    <w:p>
      <w:pPr>
        <w:pStyle w:val="Heading3"/>
      </w:pPr>
      <w:r>
        <w:t xml:space="preserve">1. Dental momentum needs to remain intact</w:t>
      </w:r>
    </w:p>
    <w:p>
      <w:pPr>
        <w:pStyle w:val="FirstParagraph"/>
      </w:pPr>
      <w:r>
        <w:t xml:space="preserve">Dental was the strongest part of Q1. U.S. dental merchandise internal growth was 4.1%, equipment grew 3.4%, and management said the company was gaining market share. Global dental merchandise and equipment internal growth was 3.0% and 3.5%, respectively. Management subsequently said dental momentum continued through April and into May, supported by share gains and a more aggressive commercial posture.</w:t>
      </w:r>
    </w:p>
    <w:p>
      <w:pPr>
        <w:pStyle w:val="BodyText"/>
      </w:pPr>
      <w:r>
        <w:t xml:space="preserve">The Q2 comparison is favorable. In Q2 2025:</w:t>
      </w:r>
    </w:p>
    <w:p>
      <w:pPr>
        <w:pStyle w:val="Compact"/>
        <w:numPr>
          <w:ilvl w:val="0"/>
          <w:numId w:val="1003"/>
        </w:numPr>
      </w:pPr>
      <w:r>
        <w:t xml:space="preserve">U.S. dental merchandise internal sales fell</w:t>
      </w:r>
      <w:r>
        <w:t xml:space="preserve"> </w:t>
      </w:r>
      <w:r>
        <w:rPr>
          <w:b/>
          <w:bCs/>
        </w:rPr>
        <w:t xml:space="preserve">1.2%</w:t>
      </w:r>
    </w:p>
    <w:p>
      <w:pPr>
        <w:pStyle w:val="Compact"/>
        <w:numPr>
          <w:ilvl w:val="0"/>
          <w:numId w:val="1003"/>
        </w:numPr>
      </w:pPr>
      <w:r>
        <w:t xml:space="preserve">U.S. dental equipment internal sales fell</w:t>
      </w:r>
      <w:r>
        <w:t xml:space="preserve"> </w:t>
      </w:r>
      <w:r>
        <w:rPr>
          <w:b/>
          <w:bCs/>
        </w:rPr>
        <w:t xml:space="preserve">4.7%</w:t>
      </w:r>
    </w:p>
    <w:p>
      <w:pPr>
        <w:pStyle w:val="Compact"/>
        <w:numPr>
          <w:ilvl w:val="0"/>
          <w:numId w:val="1003"/>
        </w:numPr>
      </w:pPr>
      <w:r>
        <w:t xml:space="preserve">Merchandise margins were hurt by promotional activity and lower glove pricing</w:t>
      </w:r>
    </w:p>
    <w:p>
      <w:pPr>
        <w:pStyle w:val="Compact"/>
        <w:numPr>
          <w:ilvl w:val="0"/>
          <w:numId w:val="1003"/>
        </w:numPr>
      </w:pPr>
      <w:r>
        <w:t xml:space="preserve">Equipment orders were temporarily disrupted by tariff uncertainty. (</w:t>
      </w:r>
      <w:hyperlink r:id="rId13">
        <w:r>
          <w:rPr>
            <w:rStyle w:val="Hyperlink"/>
          </w:rPr>
          <w:t xml:space="preserve">investor.henryschein.com</w:t>
        </w:r>
      </w:hyperlink>
      <w:r>
        <w:t xml:space="preserve">)</w:t>
      </w:r>
    </w:p>
    <w:p>
      <w:pPr>
        <w:pStyle w:val="FirstParagraph"/>
      </w:pPr>
      <w:r>
        <w:t xml:space="preserve">That gives HSIC a reasonable path to solid reported growth and year-over-year margin improvement. The best result would combine positive volume, pricing, and market-share commentary—not merely growth against an easy comparison.</w:t>
      </w:r>
    </w:p>
    <w:p>
      <w:pPr>
        <w:pStyle w:val="BodyText"/>
      </w:pPr>
      <w:r>
        <w:rPr>
          <w:b/>
          <w:bCs/>
        </w:rPr>
        <w:t xml:space="preserve">Key figures to watch:</w:t>
      </w:r>
    </w:p>
    <w:p>
      <w:pPr>
        <w:pStyle w:val="Compact"/>
        <w:numPr>
          <w:ilvl w:val="0"/>
          <w:numId w:val="1004"/>
        </w:numPr>
      </w:pPr>
      <w:r>
        <w:t xml:space="preserve">U.S. dental merchandise internal growth</w:t>
      </w:r>
    </w:p>
    <w:p>
      <w:pPr>
        <w:pStyle w:val="Compact"/>
        <w:numPr>
          <w:ilvl w:val="0"/>
          <w:numId w:val="1004"/>
        </w:numPr>
      </w:pPr>
      <w:r>
        <w:t xml:space="preserve">U.S. dental equipment growth and backlog</w:t>
      </w:r>
    </w:p>
    <w:p>
      <w:pPr>
        <w:pStyle w:val="Compact"/>
        <w:numPr>
          <w:ilvl w:val="0"/>
          <w:numId w:val="1004"/>
        </w:numPr>
      </w:pPr>
      <w:r>
        <w:t xml:space="preserve">Patient-traffic and procedure-volume commentary</w:t>
      </w:r>
    </w:p>
    <w:p>
      <w:pPr>
        <w:pStyle w:val="Compact"/>
        <w:numPr>
          <w:ilvl w:val="0"/>
          <w:numId w:val="1004"/>
        </w:numPr>
      </w:pPr>
      <w:r>
        <w:t xml:space="preserve">Growth with dental service organizations</w:t>
      </w:r>
    </w:p>
    <w:p>
      <w:pPr>
        <w:pStyle w:val="Compact"/>
        <w:numPr>
          <w:ilvl w:val="0"/>
          <w:numId w:val="1004"/>
        </w:numPr>
      </w:pPr>
      <w:r>
        <w:t xml:space="preserve">Corporate-brand penetration and related margin benefit</w:t>
      </w:r>
    </w:p>
    <w:bookmarkEnd w:id="14"/>
    <w:bookmarkStart w:id="15" w:name="X7ab8865611c9595120e07b1b6e78078a452f74e"/>
    <w:p>
      <w:pPr>
        <w:pStyle w:val="Heading3"/>
      </w:pPr>
      <w:r>
        <w:t xml:space="preserve">2. Margin execution is more important than revenue alone</w:t>
      </w:r>
    </w:p>
    <w:p>
      <w:pPr>
        <w:pStyle w:val="FirstParagraph"/>
      </w:pPr>
      <w:r>
        <w:t xml:space="preserve">Q1 non-GAAP operating margin increased 28 basis points to 7.53%, helped by distribution and technology gross margins, business mix, corporate brands, and early pricing initiatives. Management said savings should accelerate beginning in Q2 and become more significant in the second half. (</w:t>
      </w:r>
      <w:hyperlink r:id="rId11">
        <w:r>
          <w:rPr>
            <w:rStyle w:val="Hyperlink"/>
          </w:rPr>
          <w:t xml:space="preserve">investor.henryschein.com</w:t>
        </w:r>
      </w:hyperlink>
      <w:r>
        <w:t xml:space="preserve">)</w:t>
      </w:r>
    </w:p>
    <w:p>
      <w:pPr>
        <w:pStyle w:val="BodyText"/>
      </w:pPr>
      <w:r>
        <w:t xml:space="preserve">Investors should look for evidence in three areas:</w:t>
      </w:r>
    </w:p>
    <w:p>
      <w:pPr>
        <w:pStyle w:val="Compact"/>
        <w:numPr>
          <w:ilvl w:val="0"/>
          <w:numId w:val="1005"/>
        </w:numPr>
      </w:pPr>
      <w:r>
        <w:rPr>
          <w:b/>
          <w:bCs/>
        </w:rPr>
        <w:t xml:space="preserve">Gross-profit optimization:</w:t>
      </w:r>
      <w:r>
        <w:t xml:space="preserve"> </w:t>
      </w:r>
      <w:r>
        <w:t xml:space="preserve">Better pricing analytics, supplier purchasing and corporate-brand mix.</w:t>
      </w:r>
    </w:p>
    <w:p>
      <w:pPr>
        <w:pStyle w:val="Compact"/>
        <w:numPr>
          <w:ilvl w:val="0"/>
          <w:numId w:val="1005"/>
        </w:numPr>
      </w:pPr>
      <w:r>
        <w:rPr>
          <w:b/>
          <w:bCs/>
        </w:rPr>
        <w:t xml:space="preserve">G&amp;A savings:</w:t>
      </w:r>
      <w:r>
        <w:t xml:space="preserve"> </w:t>
      </w:r>
      <w:r>
        <w:t xml:space="preserve">Initial benefits from outsourcing and centralizing selected back-office functions.</w:t>
      </w:r>
    </w:p>
    <w:p>
      <w:pPr>
        <w:pStyle w:val="Compact"/>
        <w:numPr>
          <w:ilvl w:val="0"/>
          <w:numId w:val="1005"/>
        </w:numPr>
      </w:pPr>
      <w:r>
        <w:rPr>
          <w:b/>
          <w:bCs/>
        </w:rPr>
        <w:t xml:space="preserve">Operational leverage:</w:t>
      </w:r>
      <w:r>
        <w:t xml:space="preserve"> </w:t>
      </w:r>
      <w:r>
        <w:t xml:space="preserve">Expense growth below gross-profit growth.</w:t>
      </w:r>
    </w:p>
    <w:p>
      <w:pPr>
        <w:pStyle w:val="FirstParagraph"/>
      </w:pPr>
      <w:r>
        <w:t xml:space="preserve">The distinction between a</w:t>
      </w:r>
      <w:r>
        <w:t xml:space="preserve"> </w:t>
      </w:r>
      <w:r>
        <w:rPr>
          <w:b/>
          <w:bCs/>
        </w:rPr>
        <w:t xml:space="preserve">year-end run rate</w:t>
      </w:r>
      <w:r>
        <w:t xml:space="preserve"> </w:t>
      </w:r>
      <w:r>
        <w:t xml:space="preserve">and savings actually recognized in the Q2 income statement is important. Management can remain on track for $125 million while still reporting limited Q2 P&amp;L benefit. The stock would likely respond better if management can quantify realized savings, not just future actions.</w:t>
      </w:r>
    </w:p>
    <w:bookmarkEnd w:id="15"/>
    <w:bookmarkStart w:id="16" w:name="X7d887959b9523d72d56727382e54bc9eeaf4a2c"/>
    <w:p>
      <w:pPr>
        <w:pStyle w:val="Heading3"/>
      </w:pPr>
      <w:r>
        <w:t xml:space="preserve">3. Specialty Products needs to reaccelerate</w:t>
      </w:r>
    </w:p>
    <w:p>
      <w:pPr>
        <w:pStyle w:val="FirstParagraph"/>
      </w:pPr>
      <w:r>
        <w:t xml:space="preserve">Global Specialty Products produced only</w:t>
      </w:r>
      <w:r>
        <w:t xml:space="preserve"> </w:t>
      </w:r>
      <w:r>
        <w:rPr>
          <w:b/>
          <w:bCs/>
        </w:rPr>
        <w:t xml:space="preserve">1.7% internal growth</w:t>
      </w:r>
      <w:r>
        <w:t xml:space="preserve"> </w:t>
      </w:r>
      <w:r>
        <w:t xml:space="preserve">in Q1. Management attributed part of the weakness to transaction timing and predicted better growth during the rest of 2026.</w:t>
      </w:r>
    </w:p>
    <w:p>
      <w:pPr>
        <w:pStyle w:val="BodyText"/>
      </w:pPr>
      <w:r>
        <w:t xml:space="preserve">The underlying picture is mixed:</w:t>
      </w:r>
    </w:p>
    <w:p>
      <w:pPr>
        <w:pStyle w:val="Compact"/>
        <w:numPr>
          <w:ilvl w:val="0"/>
          <w:numId w:val="1006"/>
        </w:numPr>
      </w:pPr>
      <w:r>
        <w:t xml:space="preserve">Value implant systems were growing at a high-single-digit rate.</w:t>
      </w:r>
    </w:p>
    <w:p>
      <w:pPr>
        <w:pStyle w:val="Compact"/>
        <w:numPr>
          <w:ilvl w:val="0"/>
          <w:numId w:val="1006"/>
        </w:numPr>
      </w:pPr>
      <w:r>
        <w:t xml:space="preserve">Premium implants were roughly flat to low-single-digit growth, with greater softness in the U.S.</w:t>
      </w:r>
    </w:p>
    <w:p>
      <w:pPr>
        <w:pStyle w:val="Compact"/>
        <w:numPr>
          <w:ilvl w:val="0"/>
          <w:numId w:val="1006"/>
        </w:numPr>
      </w:pPr>
      <w:r>
        <w:t xml:space="preserve">Value implants are growing faster but carry lower gross margins, creating a potential growth-versus-mix tradeoff.</w:t>
      </w:r>
    </w:p>
    <w:p>
      <w:pPr>
        <w:pStyle w:val="Compact"/>
        <w:numPr>
          <w:ilvl w:val="0"/>
          <w:numId w:val="1006"/>
        </w:numPr>
      </w:pPr>
      <w:r>
        <w:t xml:space="preserve">Henry Schein increased its ownership of S.I.N.’s U.S. value-implant distributor, which should improve commercial alignment and integration.</w:t>
      </w:r>
    </w:p>
    <w:p>
      <w:pPr>
        <w:pStyle w:val="FirstParagraph"/>
      </w:pPr>
      <w:r>
        <w:t xml:space="preserve">A good Q2 would show internal growth moving clearly above Q1’s 1.7%, preferably without another meaningful decline in segment gross margin.</w:t>
      </w:r>
    </w:p>
    <w:bookmarkEnd w:id="16"/>
    <w:bookmarkStart w:id="17" w:name="X121939dcda23f02f8f77c0b6feebac964e0c0aa"/>
    <w:p>
      <w:pPr>
        <w:pStyle w:val="Heading3"/>
      </w:pPr>
      <w:r>
        <w:t xml:space="preserve">4. Technology remains the cleanest growth business</w:t>
      </w:r>
    </w:p>
    <w:p>
      <w:pPr>
        <w:pStyle w:val="FirstParagraph"/>
      </w:pPr>
      <w:r>
        <w:t xml:space="preserve">Global Technology grew</w:t>
      </w:r>
      <w:r>
        <w:t xml:space="preserve"> </w:t>
      </w:r>
      <w:r>
        <w:rPr>
          <w:b/>
          <w:bCs/>
        </w:rPr>
        <w:t xml:space="preserve">6.9% internally</w:t>
      </w:r>
      <w:r>
        <w:t xml:space="preserve"> </w:t>
      </w:r>
      <w:r>
        <w:t xml:space="preserve">in Q1, supported by Dentrix Ascend and Dentally cloud adoption. The company had more than 13,000 cloud subscribers, up approximately 25% year over year, and was introducing additional AI-enabled clinical workflow capabilities.</w:t>
      </w:r>
    </w:p>
    <w:p>
      <w:pPr>
        <w:pStyle w:val="BodyText"/>
      </w:pPr>
      <w:r>
        <w:t xml:space="preserve">Technology matters disproportionately because it offers:</w:t>
      </w:r>
    </w:p>
    <w:p>
      <w:pPr>
        <w:pStyle w:val="Compact"/>
        <w:numPr>
          <w:ilvl w:val="0"/>
          <w:numId w:val="1007"/>
        </w:numPr>
      </w:pPr>
      <w:r>
        <w:t xml:space="preserve">Recurring revenue</w:t>
      </w:r>
    </w:p>
    <w:p>
      <w:pPr>
        <w:pStyle w:val="Compact"/>
        <w:numPr>
          <w:ilvl w:val="0"/>
          <w:numId w:val="1007"/>
        </w:numPr>
      </w:pPr>
      <w:r>
        <w:t xml:space="preserve">Higher gross margins</w:t>
      </w:r>
    </w:p>
    <w:p>
      <w:pPr>
        <w:pStyle w:val="Compact"/>
        <w:numPr>
          <w:ilvl w:val="0"/>
          <w:numId w:val="1007"/>
        </w:numPr>
      </w:pPr>
      <w:r>
        <w:t xml:space="preserve">Additional revenue per existing practice</w:t>
      </w:r>
    </w:p>
    <w:p>
      <w:pPr>
        <w:pStyle w:val="Compact"/>
        <w:numPr>
          <w:ilvl w:val="0"/>
          <w:numId w:val="1007"/>
        </w:numPr>
      </w:pPr>
      <w:r>
        <w:t xml:space="preserve">A pathway to making Henry Schein more than a traditional distributor</w:t>
      </w:r>
    </w:p>
    <w:p>
      <w:pPr>
        <w:pStyle w:val="FirstParagraph"/>
      </w:pPr>
      <w:r>
        <w:t xml:space="preserve">Investors should watch whether internal growth remains in the mid- to high-single digits and whether management provides concrete adoption metrics for newer AI products.</w:t>
      </w:r>
    </w:p>
    <w:bookmarkEnd w:id="17"/>
    <w:bookmarkStart w:id="18" w:name="X4ff525d676359a6ed3eb90e2c28bf1761b7c5f8"/>
    <w:p>
      <w:pPr>
        <w:pStyle w:val="Heading3"/>
      </w:pPr>
      <w:r>
        <w:t xml:space="preserve">5. Medical should improve, but the comparison is tougher</w:t>
      </w:r>
    </w:p>
    <w:p>
      <w:pPr>
        <w:pStyle w:val="FirstParagraph"/>
      </w:pPr>
      <w:r>
        <w:t xml:space="preserve">Q1 U.S. Medical internal sales grew only 1.2%, reflecting weak demand for respiratory diagnostic tests after a light flu season. Management said the underlying business would have grown at a mid-single-digit rate excluding that category and later indicated those underlying trends continued into Q2.</w:t>
      </w:r>
    </w:p>
    <w:p>
      <w:pPr>
        <w:pStyle w:val="BodyText"/>
      </w:pPr>
      <w:r>
        <w:t xml:space="preserve">Home Solutions and dialysis remain the principal positives. The complication is that Q2 2025 was relatively strong: U.S. Medical internal growth was 4.6%. (</w:t>
      </w:r>
      <w:hyperlink r:id="rId13">
        <w:r>
          <w:rPr>
            <w:rStyle w:val="Hyperlink"/>
          </w:rPr>
          <w:t xml:space="preserve">investor.henryschein.com</w:t>
        </w:r>
      </w:hyperlink>
      <w:r>
        <w:t xml:space="preserve">)</w:t>
      </w:r>
    </w:p>
    <w:p>
      <w:pPr>
        <w:pStyle w:val="BodyText"/>
      </w:pPr>
      <w:r>
        <w:t xml:space="preserve">Accordingly, a return to mid-single-digit Medical growth would be a meaningful positive rather than an easy comparison-driven rebound.</w:t>
      </w:r>
    </w:p>
    <w:bookmarkEnd w:id="18"/>
    <w:bookmarkEnd w:id="19"/>
    <w:bookmarkStart w:id="20" w:name="the-most-important-guidance-question"/>
    <w:p>
      <w:pPr>
        <w:pStyle w:val="Heading2"/>
      </w:pPr>
      <w:r>
        <w:t xml:space="preserve">The most important guidance question</w:t>
      </w:r>
    </w:p>
    <w:p>
      <w:pPr>
        <w:pStyle w:val="FirstParagraph"/>
      </w:pPr>
      <w:r>
        <w:t xml:space="preserve">At the current Q2 consensus, first-half adjusted EPS would equal approximately:</w:t>
      </w:r>
    </w:p>
    <w:p>
      <w:pPr>
        <w:pStyle w:val="Compact"/>
        <w:numPr>
          <w:ilvl w:val="0"/>
          <w:numId w:val="1008"/>
        </w:numPr>
      </w:pPr>
      <w:r>
        <w:t xml:space="preserve">Q1 actual:</w:t>
      </w:r>
      <w:r>
        <w:t xml:space="preserve"> </w:t>
      </w:r>
      <w:r>
        <w:rPr>
          <w:b/>
          <w:bCs/>
        </w:rPr>
        <w:t xml:space="preserve">$1.32</w:t>
      </w:r>
    </w:p>
    <w:p>
      <w:pPr>
        <w:pStyle w:val="Compact"/>
        <w:numPr>
          <w:ilvl w:val="0"/>
          <w:numId w:val="1008"/>
        </w:numPr>
      </w:pPr>
      <w:r>
        <w:t xml:space="preserve">Q2 consensus:</w:t>
      </w:r>
      <w:r>
        <w:t xml:space="preserve"> </w:t>
      </w:r>
      <w:r>
        <w:rPr>
          <w:b/>
          <w:bCs/>
        </w:rPr>
        <w:t xml:space="preserve">$1.23</w:t>
      </w:r>
    </w:p>
    <w:p>
      <w:pPr>
        <w:pStyle w:val="Compact"/>
        <w:numPr>
          <w:ilvl w:val="0"/>
          <w:numId w:val="1008"/>
        </w:numPr>
      </w:pPr>
      <w:r>
        <w:t xml:space="preserve">First half:</w:t>
      </w:r>
      <w:r>
        <w:t xml:space="preserve"> </w:t>
      </w:r>
      <w:r>
        <w:rPr>
          <w:b/>
          <w:bCs/>
        </w:rPr>
        <w:t xml:space="preserve">$2.55</w:t>
      </w:r>
    </w:p>
    <w:p>
      <w:pPr>
        <w:pStyle w:val="FirstParagraph"/>
      </w:pPr>
      <w:r>
        <w:t xml:space="preserve">That would leave</w:t>
      </w:r>
      <w:r>
        <w:t xml:space="preserve"> </w:t>
      </w:r>
      <m:oMath>
        <m:r>
          <m:t>2.68</m:t>
        </m:r>
        <m:r>
          <m:rPr>
            <m:sty m:val="p"/>
          </m:rPr>
          <m:t>–</m:t>
        </m:r>
      </m:oMath>
      <w:r>
        <w:rPr>
          <w:b/>
          <w:bCs/>
        </w:rPr>
        <w:t xml:space="preserve">2.82</w:t>
      </w:r>
      <w:r>
        <w:t xml:space="preserve"> </w:t>
      </w:r>
      <w:r>
        <w:t xml:space="preserve">of EPS required in the second half to achieve the existing</w:t>
      </w:r>
      <w:r>
        <w:t xml:space="preserve"> </w:t>
      </w:r>
      <m:oMath>
        <m:r>
          <m:t>5.23</m:t>
        </m:r>
        <m:r>
          <m:rPr>
            <m:sty m:val="p"/>
          </m:rPr>
          <m:t>–</m:t>
        </m:r>
      </m:oMath>
      <w:r>
        <w:t xml:space="preserve">5.37 guidance range. Henry Schein generated approximately $2.72 in the second half of 2025.</w:t>
      </w:r>
    </w:p>
    <w:p>
      <w:pPr>
        <w:pStyle w:val="BodyText"/>
      </w:pPr>
      <w:r>
        <w:t xml:space="preserve">In other words, the existing guide requires roughly flat to low-single-digit second-half EPS growth, despite:</w:t>
      </w:r>
    </w:p>
    <w:p>
      <w:pPr>
        <w:pStyle w:val="Compact"/>
        <w:numPr>
          <w:ilvl w:val="0"/>
          <w:numId w:val="1009"/>
        </w:numPr>
      </w:pPr>
      <w:r>
        <w:t xml:space="preserve">Accelerating cost savings</w:t>
      </w:r>
    </w:p>
    <w:p>
      <w:pPr>
        <w:pStyle w:val="Compact"/>
        <w:numPr>
          <w:ilvl w:val="0"/>
          <w:numId w:val="1009"/>
        </w:numPr>
      </w:pPr>
      <w:r>
        <w:t xml:space="preserve">A substantially lower share count</w:t>
      </w:r>
    </w:p>
    <w:p>
      <w:pPr>
        <w:pStyle w:val="Compact"/>
        <w:numPr>
          <w:ilvl w:val="0"/>
          <w:numId w:val="1009"/>
        </w:numPr>
      </w:pPr>
      <w:r>
        <w:t xml:space="preserve">Expected improvement in Specialty Products</w:t>
      </w:r>
    </w:p>
    <w:p>
      <w:pPr>
        <w:pStyle w:val="Compact"/>
        <w:numPr>
          <w:ilvl w:val="0"/>
          <w:numId w:val="1009"/>
        </w:numPr>
      </w:pPr>
      <w:r>
        <w:t xml:space="preserve">Continued dental market-share gains</w:t>
      </w:r>
    </w:p>
    <w:p>
      <w:pPr>
        <w:pStyle w:val="FirstParagraph"/>
      </w:pPr>
      <w:r>
        <w:t xml:space="preserve">That could mean the outlook contains conservatism—but it may also reflect expected offsets from mix, inflation, freight, investment spending or limited organic growth.</w:t>
      </w:r>
    </w:p>
    <w:p>
      <w:pPr>
        <w:pStyle w:val="BodyText"/>
      </w:pPr>
      <w:r>
        <w:rPr>
          <w:b/>
          <w:bCs/>
        </w:rPr>
        <w:t xml:space="preserve">A guidance raise is possible but not necessary for a constructive report.</w:t>
      </w:r>
      <w:r>
        <w:t xml:space="preserve"> </w:t>
      </w:r>
      <w:r>
        <w:t xml:space="preserve">A reaffirmation accompanied by stronger internal-growth assumptions and detailed confidence in the $125 million run-rate target could still be well received. Conversely, a simple reaffirmation with vague or cautious second-half commentary may disappoint.</w:t>
      </w:r>
    </w:p>
    <w:bookmarkEnd w:id="20"/>
    <w:bookmarkStart w:id="21" w:name="earnings-quality-deserves-scrutiny"/>
    <w:p>
      <w:pPr>
        <w:pStyle w:val="Heading2"/>
      </w:pPr>
      <w:r>
        <w:t xml:space="preserve">Earnings quality deserves scrutiny</w:t>
      </w:r>
    </w:p>
    <w:p>
      <w:pPr>
        <w:pStyle w:val="FirstParagraph"/>
      </w:pPr>
      <w:r>
        <w:t xml:space="preserve">Q1 adjusted EPS rose 14.8%, but adjusted net income grew only 6.5%. Share repurchases were therefore an important component of per-share growth. Q1 EPS also included approximately $0.07 from a remeasurement gain related to the S.I.N. transaction.</w:t>
      </w:r>
    </w:p>
    <w:p>
      <w:pPr>
        <w:pStyle w:val="BodyText"/>
      </w:pPr>
      <w:r>
        <w:t xml:space="preserve">For Q2, investors should prioritize:</w:t>
      </w:r>
    </w:p>
    <w:p>
      <w:pPr>
        <w:pStyle w:val="Compact"/>
        <w:numPr>
          <w:ilvl w:val="0"/>
          <w:numId w:val="1010"/>
        </w:numPr>
      </w:pPr>
      <w:r>
        <w:t xml:space="preserve">Adjusted EBITDA growth</w:t>
      </w:r>
    </w:p>
    <w:p>
      <w:pPr>
        <w:pStyle w:val="Compact"/>
        <w:numPr>
          <w:ilvl w:val="0"/>
          <w:numId w:val="1010"/>
        </w:numPr>
      </w:pPr>
      <w:r>
        <w:t xml:space="preserve">Operating-margin expansion</w:t>
      </w:r>
    </w:p>
    <w:p>
      <w:pPr>
        <w:pStyle w:val="Compact"/>
        <w:numPr>
          <w:ilvl w:val="0"/>
          <w:numId w:val="1010"/>
        </w:numPr>
      </w:pPr>
      <w:r>
        <w:t xml:space="preserve">Organic operating-income growth</w:t>
      </w:r>
    </w:p>
    <w:p>
      <w:pPr>
        <w:pStyle w:val="Compact"/>
        <w:numPr>
          <w:ilvl w:val="0"/>
          <w:numId w:val="1010"/>
        </w:numPr>
      </w:pPr>
      <w:r>
        <w:t xml:space="preserve">Free-cash-flow recovery</w:t>
      </w:r>
    </w:p>
    <w:p>
      <w:pPr>
        <w:pStyle w:val="Compact"/>
        <w:numPr>
          <w:ilvl w:val="0"/>
          <w:numId w:val="1010"/>
        </w:numPr>
      </w:pPr>
      <w:r>
        <w:t xml:space="preserve">EPS excluding any new remeasurement gains</w:t>
      </w:r>
    </w:p>
    <w:p>
      <w:pPr>
        <w:pStyle w:val="FirstParagraph"/>
      </w:pPr>
      <w:r>
        <w:t xml:space="preserve">HSIC repurchased $125 million of stock in Q1 and retained $655 million of authorization. Buybacks remain supportive, but the stronger investment case requires improvement in the underlying operation rather than financial engineering alone. (</w:t>
      </w:r>
      <w:hyperlink r:id="rId11">
        <w:r>
          <w:rPr>
            <w:rStyle w:val="Hyperlink"/>
          </w:rPr>
          <w:t xml:space="preserve">investor.henryschein.com</w:t>
        </w:r>
      </w:hyperlink>
      <w:r>
        <w:t xml:space="preserve">)</w:t>
      </w:r>
    </w:p>
    <w:bookmarkEnd w:id="21"/>
    <w:bookmarkStart w:id="23" w:name="X49635edb93996af10d5f2dd894ad9bc53ca149f"/>
    <w:p>
      <w:pPr>
        <w:pStyle w:val="Heading2"/>
      </w:pPr>
      <w:r>
        <w:t xml:space="preserve">Leadership transition adds a new call topic</w:t>
      </w:r>
    </w:p>
    <w:p>
      <w:pPr>
        <w:pStyle w:val="FirstParagraph"/>
      </w:pPr>
      <w:r>
        <w:t xml:space="preserve">On July 30, Henry Schein announced a flatter leadership structure, the integration of global supply chain with global distribution, and the planned transition of three long-tenured executives—including its COO and chief strategy officer—to advisory roles after October 30.</w:t>
      </w:r>
    </w:p>
    <w:p>
      <w:pPr>
        <w:pStyle w:val="BodyText"/>
      </w:pPr>
      <w:r>
        <w:t xml:space="preserve">The changes fit CEO Fred Lowery’s stated objective of making Henry Schein simpler, faster and less siloed. They also introduce short-term execution and succession questions. Investors should listen for:</w:t>
      </w:r>
    </w:p>
    <w:p>
      <w:pPr>
        <w:pStyle w:val="Compact"/>
        <w:numPr>
          <w:ilvl w:val="0"/>
          <w:numId w:val="1011"/>
        </w:numPr>
      </w:pPr>
      <w:r>
        <w:t xml:space="preserve">Whether the changes affect the $125 million value-creation target</w:t>
      </w:r>
    </w:p>
    <w:p>
      <w:pPr>
        <w:pStyle w:val="Compact"/>
        <w:numPr>
          <w:ilvl w:val="0"/>
          <w:numId w:val="1011"/>
        </w:numPr>
      </w:pPr>
      <w:r>
        <w:t xml:space="preserve">Incremental restructuring costs or savings</w:t>
      </w:r>
    </w:p>
    <w:p>
      <w:pPr>
        <w:pStyle w:val="Compact"/>
        <w:numPr>
          <w:ilvl w:val="0"/>
          <w:numId w:val="1011"/>
        </w:numPr>
      </w:pPr>
      <w:r>
        <w:t xml:space="preserve">Who assumes the departing executives’ responsibilities</w:t>
      </w:r>
    </w:p>
    <w:p>
      <w:pPr>
        <w:pStyle w:val="Compact"/>
        <w:numPr>
          <w:ilvl w:val="0"/>
          <w:numId w:val="1011"/>
        </w:numPr>
      </w:pPr>
      <w:r>
        <w:t xml:space="preserve">Whether further portfolio or organizational changes are likely</w:t>
      </w:r>
    </w:p>
    <w:p>
      <w:pPr>
        <w:pStyle w:val="FirstParagraph"/>
      </w:pPr>
      <w:r>
        <w:t xml:space="preserve">The announcement could ultimately be viewed as evidence that the new CEO is acting decisively, but management will need to demonstrate that the transition is controlled rather than disruptive. (</w:t>
      </w:r>
      <w:hyperlink r:id="rId22">
        <w:r>
          <w:rPr>
            <w:rStyle w:val="Hyperlink"/>
          </w:rPr>
          <w:t xml:space="preserve">marketbeat.com</w:t>
        </w:r>
      </w:hyperlink>
      <w:r>
        <w:t xml:space="preserve">)</w:t>
      </w:r>
    </w:p>
    <w:bookmarkEnd w:id="23"/>
    <w:bookmarkStart w:id="24" w:name="stock-setup-and-valuation"/>
    <w:p>
      <w:pPr>
        <w:pStyle w:val="Heading2"/>
      </w:pPr>
      <w:r>
        <w:t xml:space="preserve">Stock setup and valuation</w:t>
      </w:r>
    </w:p>
    <w:p>
      <w:pPr>
        <w:pStyle w:val="FirstParagraph"/>
      </w:pPr>
      <w:r>
        <w:t xml:space="preserve">HSIC closed August 3 at approximately</w:t>
      </w:r>
      <w:r>
        <w:t xml:space="preserve"> </w:t>
      </w:r>
      <w:r>
        <w:rPr>
          <w:b/>
          <w:bCs/>
        </w:rPr>
        <w:t xml:space="preserve">$86.53</w:t>
      </w:r>
      <w:r>
        <w:t xml:space="preserve">, up about</w:t>
      </w:r>
      <w:r>
        <w:t xml:space="preserve"> </w:t>
      </w:r>
      <w:r>
        <w:rPr>
          <w:b/>
          <w:bCs/>
        </w:rPr>
        <w:t xml:space="preserve">20%</w:t>
      </w:r>
      <w:r>
        <w:t xml:space="preserve"> </w:t>
      </w:r>
      <w:r>
        <w:t xml:space="preserve">from the trading day before Q1 earnings and near its recent high. At that price, the shares trade around</w:t>
      </w:r>
      <w:r>
        <w:t xml:space="preserve"> </w:t>
      </w:r>
      <w:r>
        <w:rPr>
          <w:b/>
          <w:bCs/>
        </w:rPr>
        <w:t xml:space="preserve">16.3 times</w:t>
      </w:r>
      <w:r>
        <w:t xml:space="preserve"> </w:t>
      </w:r>
      <w:r>
        <w:t xml:space="preserve">the midpoint of 2026 adjusted EPS guidance. (</w:t>
      </w:r>
      <w:hyperlink r:id="rId10">
        <w:r>
          <w:rPr>
            <w:rStyle w:val="Hyperlink"/>
          </w:rPr>
          <w:t xml:space="preserve">benzinga.com</w:t>
        </w:r>
      </w:hyperlink>
      <w:r>
        <w:t xml:space="preserve">)</w:t>
      </w:r>
    </w:p>
    <w:p>
      <w:pPr>
        <w:pStyle w:val="BodyText"/>
      </w:pPr>
      <w:r>
        <w:t xml:space="preserve">That is not an extreme valuation, but the rally means investors are already assigning some value to:</w:t>
      </w:r>
    </w:p>
    <w:p>
      <w:pPr>
        <w:pStyle w:val="Compact"/>
        <w:numPr>
          <w:ilvl w:val="0"/>
          <w:numId w:val="1012"/>
        </w:numPr>
      </w:pPr>
      <w:r>
        <w:t xml:space="preserve">Better execution under the new CEO</w:t>
      </w:r>
    </w:p>
    <w:p>
      <w:pPr>
        <w:pStyle w:val="Compact"/>
        <w:numPr>
          <w:ilvl w:val="0"/>
          <w:numId w:val="1012"/>
        </w:numPr>
      </w:pPr>
      <w:r>
        <w:t xml:space="preserve">Dental market-share gains</w:t>
      </w:r>
    </w:p>
    <w:p>
      <w:pPr>
        <w:pStyle w:val="Compact"/>
        <w:numPr>
          <w:ilvl w:val="0"/>
          <w:numId w:val="1012"/>
        </w:numPr>
      </w:pPr>
      <w:r>
        <w:t xml:space="preserve">The $200 million value-creation plan</w:t>
      </w:r>
    </w:p>
    <w:p>
      <w:pPr>
        <w:pStyle w:val="Compact"/>
        <w:numPr>
          <w:ilvl w:val="0"/>
          <w:numId w:val="1012"/>
        </w:numPr>
      </w:pPr>
      <w:r>
        <w:t xml:space="preserve">Continued buybacks</w:t>
      </w:r>
    </w:p>
    <w:p>
      <w:pPr>
        <w:pStyle w:val="Compact"/>
        <w:numPr>
          <w:ilvl w:val="0"/>
          <w:numId w:val="1012"/>
        </w:numPr>
      </w:pPr>
      <w:r>
        <w:t xml:space="preserve">Higher-margin technology and specialty growth</w:t>
      </w:r>
    </w:p>
    <w:p>
      <w:pPr>
        <w:pStyle w:val="FirstParagraph"/>
      </w:pPr>
      <w:r>
        <w:t xml:space="preserve">The near-term risk/reward therefore looks more dependent on margins and forward commentary than on a small revenue beat.</w:t>
      </w:r>
    </w:p>
    <w:bookmarkEnd w:id="24"/>
    <w:bookmarkStart w:id="28" w:name="scenario-framework"/>
    <w:p>
      <w:pPr>
        <w:pStyle w:val="Heading2"/>
      </w:pPr>
      <w:r>
        <w:t xml:space="preserve">Scenario framework</w:t>
      </w:r>
    </w:p>
    <w:bookmarkStart w:id="25" w:name="bull-case"/>
    <w:p>
      <w:pPr>
        <w:pStyle w:val="Heading3"/>
      </w:pPr>
      <w:r>
        <w:t xml:space="preserve">Bull case</w:t>
      </w:r>
    </w:p>
    <w:p>
      <w:pPr>
        <w:pStyle w:val="Compact"/>
        <w:numPr>
          <w:ilvl w:val="0"/>
          <w:numId w:val="1013"/>
        </w:numPr>
      </w:pPr>
      <w:r>
        <w:t xml:space="preserve">Revenue and EPS exceed consensus</w:t>
      </w:r>
    </w:p>
    <w:p>
      <w:pPr>
        <w:pStyle w:val="Compact"/>
        <w:numPr>
          <w:ilvl w:val="0"/>
          <w:numId w:val="1013"/>
        </w:numPr>
      </w:pPr>
      <w:r>
        <w:t xml:space="preserve">Internal growth reaches at least the low- to mid-3% range</w:t>
      </w:r>
    </w:p>
    <w:p>
      <w:pPr>
        <w:pStyle w:val="Compact"/>
        <w:numPr>
          <w:ilvl w:val="0"/>
          <w:numId w:val="1013"/>
        </w:numPr>
      </w:pPr>
      <w:r>
        <w:t xml:space="preserve">Dental share gains continue</w:t>
      </w:r>
    </w:p>
    <w:p>
      <w:pPr>
        <w:pStyle w:val="Compact"/>
        <w:numPr>
          <w:ilvl w:val="0"/>
          <w:numId w:val="1013"/>
        </w:numPr>
      </w:pPr>
      <w:r>
        <w:t xml:space="preserve">Specialty growth accelerates materially</w:t>
      </w:r>
    </w:p>
    <w:p>
      <w:pPr>
        <w:pStyle w:val="Compact"/>
        <w:numPr>
          <w:ilvl w:val="0"/>
          <w:numId w:val="1013"/>
        </w:numPr>
      </w:pPr>
      <w:r>
        <w:t xml:space="preserve">Non-GAAP operating margin expands</w:t>
      </w:r>
    </w:p>
    <w:p>
      <w:pPr>
        <w:pStyle w:val="Compact"/>
        <w:numPr>
          <w:ilvl w:val="0"/>
          <w:numId w:val="1013"/>
        </w:numPr>
      </w:pPr>
      <w:r>
        <w:t xml:space="preserve">Management quantifies Q2 savings and reiterates strong confidence in the $125 million year-end run rate</w:t>
      </w:r>
    </w:p>
    <w:p>
      <w:pPr>
        <w:pStyle w:val="Compact"/>
        <w:numPr>
          <w:ilvl w:val="0"/>
          <w:numId w:val="1013"/>
        </w:numPr>
      </w:pPr>
      <w:r>
        <w:t xml:space="preserve">Full-year guidance is raised or management signals performance toward the upper end</w:t>
      </w:r>
    </w:p>
    <w:bookmarkEnd w:id="25"/>
    <w:bookmarkStart w:id="26" w:name="base-case"/>
    <w:p>
      <w:pPr>
        <w:pStyle w:val="Heading3"/>
      </w:pPr>
      <w:r>
        <w:t xml:space="preserve">Base case</w:t>
      </w:r>
    </w:p>
    <w:p>
      <w:pPr>
        <w:pStyle w:val="Compact"/>
        <w:numPr>
          <w:ilvl w:val="0"/>
          <w:numId w:val="1014"/>
        </w:numPr>
      </w:pPr>
      <w:r>
        <w:t xml:space="preserve">Revenue and EPS are close to or modestly above consensus</w:t>
      </w:r>
    </w:p>
    <w:p>
      <w:pPr>
        <w:pStyle w:val="Compact"/>
        <w:numPr>
          <w:ilvl w:val="0"/>
          <w:numId w:val="1014"/>
        </w:numPr>
      </w:pPr>
      <w:r>
        <w:t xml:space="preserve">Dental remains healthy; Medical and Specialty improve gradually</w:t>
      </w:r>
    </w:p>
    <w:p>
      <w:pPr>
        <w:pStyle w:val="Compact"/>
        <w:numPr>
          <w:ilvl w:val="0"/>
          <w:numId w:val="1014"/>
        </w:numPr>
      </w:pPr>
      <w:r>
        <w:t xml:space="preserve">Margin expansion is positive but limited</w:t>
      </w:r>
    </w:p>
    <w:p>
      <w:pPr>
        <w:pStyle w:val="Compact"/>
        <w:numPr>
          <w:ilvl w:val="0"/>
          <w:numId w:val="1014"/>
        </w:numPr>
      </w:pPr>
      <w:r>
        <w:t xml:space="preserve">Full-year guidance is reaffirmed</w:t>
      </w:r>
    </w:p>
    <w:p>
      <w:pPr>
        <w:pStyle w:val="Compact"/>
        <w:numPr>
          <w:ilvl w:val="0"/>
          <w:numId w:val="1014"/>
        </w:numPr>
      </w:pPr>
      <w:r>
        <w:t xml:space="preserve">Management maintains a second-half-weighted savings cadence</w:t>
      </w:r>
    </w:p>
    <w:p>
      <w:pPr>
        <w:pStyle w:val="FirstParagraph"/>
      </w:pPr>
      <w:r>
        <w:t xml:space="preserve">Given the stock’s recent appreciation, that result could produce only a muted positive reaction.</w:t>
      </w:r>
    </w:p>
    <w:bookmarkEnd w:id="26"/>
    <w:bookmarkStart w:id="27" w:name="bear-case"/>
    <w:p>
      <w:pPr>
        <w:pStyle w:val="Heading3"/>
      </w:pPr>
      <w:r>
        <w:t xml:space="preserve">Bear case</w:t>
      </w:r>
    </w:p>
    <w:p>
      <w:pPr>
        <w:pStyle w:val="Compact"/>
        <w:numPr>
          <w:ilvl w:val="0"/>
          <w:numId w:val="1015"/>
        </w:numPr>
      </w:pPr>
      <w:r>
        <w:t xml:space="preserve">Revenue is near consensus but margins miss</w:t>
      </w:r>
    </w:p>
    <w:p>
      <w:pPr>
        <w:pStyle w:val="Compact"/>
        <w:numPr>
          <w:ilvl w:val="0"/>
          <w:numId w:val="1015"/>
        </w:numPr>
      </w:pPr>
      <w:r>
        <w:t xml:space="preserve">Specialty growth remains weak or value-implant mix pressures profitability</w:t>
      </w:r>
    </w:p>
    <w:p>
      <w:pPr>
        <w:pStyle w:val="Compact"/>
        <w:numPr>
          <w:ilvl w:val="0"/>
          <w:numId w:val="1015"/>
        </w:numPr>
      </w:pPr>
      <w:r>
        <w:t xml:space="preserve">Medical does not normalize</w:t>
      </w:r>
    </w:p>
    <w:p>
      <w:pPr>
        <w:pStyle w:val="Compact"/>
        <w:numPr>
          <w:ilvl w:val="0"/>
          <w:numId w:val="1015"/>
        </w:numPr>
      </w:pPr>
      <w:r>
        <w:t xml:space="preserve">Savings remain largely prospective</w:t>
      </w:r>
    </w:p>
    <w:p>
      <w:pPr>
        <w:pStyle w:val="Compact"/>
        <w:numPr>
          <w:ilvl w:val="0"/>
          <w:numId w:val="1015"/>
        </w:numPr>
      </w:pPr>
      <w:r>
        <w:t xml:space="preserve">Management becomes more cautious about oil, freight, tariffs or end-market demand</w:t>
      </w:r>
    </w:p>
    <w:p>
      <w:pPr>
        <w:pStyle w:val="Compact"/>
        <w:numPr>
          <w:ilvl w:val="0"/>
          <w:numId w:val="1015"/>
        </w:numPr>
      </w:pPr>
      <w:r>
        <w:t xml:space="preserve">Leadership changes create uncertainty around execution</w:t>
      </w:r>
    </w:p>
    <w:p>
      <w:pPr>
        <w:pStyle w:val="Compact"/>
        <w:numPr>
          <w:ilvl w:val="0"/>
          <w:numId w:val="1015"/>
        </w:numPr>
      </w:pPr>
      <w:r>
        <w:t xml:space="preserve">Guidance is reduced or confidence in the upper half of the range fades</w:t>
      </w:r>
    </w:p>
    <w:bookmarkEnd w:id="27"/>
    <w:bookmarkEnd w:id="28"/>
    <w:bookmarkStart w:id="29" w:name="investor-checklist"/>
    <w:p>
      <w:pPr>
        <w:pStyle w:val="Heading2"/>
      </w:pPr>
      <w:r>
        <w:t xml:space="preserve">Investor checklist</w:t>
      </w:r>
    </w:p>
    <w:p>
      <w:pPr>
        <w:pStyle w:val="FirstParagraph"/>
      </w:pPr>
      <w:r>
        <w:t xml:space="preserve">The most decision-useful figures and comments will be:</w:t>
      </w:r>
    </w:p>
    <w:p>
      <w:pPr>
        <w:pStyle w:val="Compact"/>
        <w:numPr>
          <w:ilvl w:val="0"/>
          <w:numId w:val="1016"/>
        </w:numPr>
      </w:pPr>
      <w:r>
        <w:t xml:space="preserve">Total internal sales growth versus Q1’s 2.5%</w:t>
      </w:r>
    </w:p>
    <w:p>
      <w:pPr>
        <w:pStyle w:val="Compact"/>
        <w:numPr>
          <w:ilvl w:val="0"/>
          <w:numId w:val="1017"/>
        </w:numPr>
      </w:pPr>
      <w:r>
        <w:t xml:space="preserve">U.S. dental merchandise and equipment growth</w:t>
      </w:r>
    </w:p>
    <w:p>
      <w:pPr>
        <w:pStyle w:val="Compact"/>
        <w:numPr>
          <w:ilvl w:val="0"/>
          <w:numId w:val="1018"/>
        </w:numPr>
      </w:pPr>
      <w:r>
        <w:t xml:space="preserve">Distribution gross margin</w:t>
      </w:r>
    </w:p>
    <w:p>
      <w:pPr>
        <w:pStyle w:val="Compact"/>
        <w:numPr>
          <w:ilvl w:val="0"/>
          <w:numId w:val="1019"/>
        </w:numPr>
      </w:pPr>
      <w:r>
        <w:t xml:space="preserve">Non-GAAP operating-margin change</w:t>
      </w:r>
    </w:p>
    <w:p>
      <w:pPr>
        <w:pStyle w:val="Compact"/>
        <w:numPr>
          <w:ilvl w:val="0"/>
          <w:numId w:val="1020"/>
        </w:numPr>
      </w:pPr>
      <w:r>
        <w:t xml:space="preserve">Realized Q2 value-creation benefits</w:t>
      </w:r>
    </w:p>
    <w:p>
      <w:pPr>
        <w:pStyle w:val="Compact"/>
        <w:numPr>
          <w:ilvl w:val="0"/>
          <w:numId w:val="1021"/>
        </w:numPr>
      </w:pPr>
      <w:r>
        <w:t xml:space="preserve">Specialty Products internal growth and gross margin</w:t>
      </w:r>
    </w:p>
    <w:p>
      <w:pPr>
        <w:pStyle w:val="Compact"/>
        <w:numPr>
          <w:ilvl w:val="0"/>
          <w:numId w:val="1022"/>
        </w:numPr>
      </w:pPr>
      <w:r>
        <w:t xml:space="preserve">Technology internal growth and cloud subscriber count</w:t>
      </w:r>
    </w:p>
    <w:p>
      <w:pPr>
        <w:pStyle w:val="Compact"/>
        <w:numPr>
          <w:ilvl w:val="0"/>
          <w:numId w:val="1023"/>
        </w:numPr>
      </w:pPr>
      <w:r>
        <w:t xml:space="preserve">Medical growth excluding respiratory testing</w:t>
      </w:r>
    </w:p>
    <w:p>
      <w:pPr>
        <w:pStyle w:val="Compact"/>
        <w:numPr>
          <w:ilvl w:val="0"/>
          <w:numId w:val="1024"/>
        </w:numPr>
      </w:pPr>
      <w:r>
        <w:t xml:space="preserve">Operating cash flow and working-capital normalization</w:t>
      </w:r>
    </w:p>
    <w:p>
      <w:pPr>
        <w:pStyle w:val="Compact"/>
        <w:numPr>
          <w:ilvl w:val="0"/>
          <w:numId w:val="1025"/>
        </w:numPr>
      </w:pPr>
      <w:r>
        <w:t xml:space="preserve">Share repurchases and ending diluted share count</w:t>
      </w:r>
    </w:p>
    <w:p>
      <w:pPr>
        <w:pStyle w:val="Compact"/>
        <w:numPr>
          <w:ilvl w:val="0"/>
          <w:numId w:val="1026"/>
        </w:numPr>
      </w:pPr>
      <w:r>
        <w:t xml:space="preserve">Updated 2026 revenue, EPS and EBITDA outlook</w:t>
      </w:r>
    </w:p>
    <w:p>
      <w:pPr>
        <w:pStyle w:val="Compact"/>
        <w:numPr>
          <w:ilvl w:val="0"/>
          <w:numId w:val="1027"/>
        </w:numPr>
      </w:pPr>
      <w:r>
        <w:t xml:space="preserve">Leadership-restructuring costs and operational implications</w:t>
      </w:r>
    </w:p>
    <w:bookmarkEnd w:id="29"/>
    <w:bookmarkStart w:id="30" w:name="bottom-line"/>
    <w:p>
      <w:pPr>
        <w:pStyle w:val="Heading2"/>
      </w:pPr>
      <w:r>
        <w:t xml:space="preserve">Bottom line</w:t>
      </w:r>
    </w:p>
    <w:p>
      <w:pPr>
        <w:pStyle w:val="FirstParagraph"/>
      </w:pPr>
      <w:r>
        <w:t xml:space="preserve">The setup is fundamentally constructive: dental trends improved into the quarter, Q2 comparisons are favorable, Medical and Specialty have identifiable recovery paths, and savings should begin contributing more visibly.</w:t>
      </w:r>
    </w:p>
    <w:p>
      <w:pPr>
        <w:pStyle w:val="BodyText"/>
      </w:pPr>
      <w:r>
        <w:t xml:space="preserve">But with HSIC up roughly 20% since the last report, the burden of proof has shifted. The most bullish outcome is not simply $1.25 of EPS instead of $1.23—it is evidence that Henry Schein can sustain market-share gains while converting its value-creation program into recurring margin expansion.</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2"/>
  </w:num>
  <w:num w:numId="1027">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nvestor.henryschein.com/financials/quarterly-results/default.aspx?utm_source=openai" TargetMode="External" /><Relationship Type="http://schemas.openxmlformats.org/officeDocument/2006/relationships/hyperlink" Id="rId13" Target="https://investor.henryschein.com/news-releases/news-release-details/2025/Henry-Schein-Reports-Second-Quarter-2025-Financial-Results/default.aspx?utm_source=openai" TargetMode="External" /><Relationship Type="http://schemas.openxmlformats.org/officeDocument/2006/relationships/hyperlink" Id="rId10" Target="https://www.benzinga.com/quote/HSIC/earnings/" TargetMode="External" /><Relationship Type="http://schemas.openxmlformats.org/officeDocument/2006/relationships/hyperlink" Id="rId22" Target="https://www.marketbeat.com/earnings/reports/2026-8-4-henry-schein-inc-stock/" TargetMode="External" /></Relationships>
</file>

<file path=word/_rels/footnotes.xml.rels><?xml version="1.0" encoding="UTF-8"?><Relationships xmlns="http://schemas.openxmlformats.org/package/2006/relationships"><Relationship Type="http://schemas.openxmlformats.org/officeDocument/2006/relationships/hyperlink" Id="rId11" Target="https://investor.henryschein.com/financials/quarterly-results/default.aspx?utm_source=openai" TargetMode="External" /><Relationship Type="http://schemas.openxmlformats.org/officeDocument/2006/relationships/hyperlink" Id="rId13" Target="https://investor.henryschein.com/news-releases/news-release-details/2025/Henry-Schein-Reports-Second-Quarter-2025-Financial-Results/default.aspx?utm_source=openai" TargetMode="External" /><Relationship Type="http://schemas.openxmlformats.org/officeDocument/2006/relationships/hyperlink" Id="rId10" Target="https://www.benzinga.com/quote/HSIC/earnings/" TargetMode="External" /><Relationship Type="http://schemas.openxmlformats.org/officeDocument/2006/relationships/hyperlink" Id="rId22" Target="https://www.marketbeat.com/earnings/reports/2026-8-4-henry-schein-inc-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2026-08-04T00:08:34Z</dcterms:created>
  <dcterms:modified xsi:type="dcterms:W3CDTF">2026-08-04T00:08:34Z</dcterms:modified>
</cp:coreProperties>
</file>

<file path=docProps/custom.xml><?xml version="1.0" encoding="utf-8"?>
<Properties xmlns="http://schemas.openxmlformats.org/officeDocument/2006/custom-properties" xmlns:vt="http://schemas.openxmlformats.org/officeDocument/2006/docPropsVTypes"/>
</file>