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hsic-q2-2026-earnings-preview"/>
    <w:p>
      <w:pPr>
        <w:pStyle w:val="Heading1"/>
      </w:pPr>
      <w:r>
        <w:t xml:space="preserve">HSIC Q2 2026 Earnings Preview</w:t>
      </w:r>
    </w:p>
    <w:p>
      <w:pPr>
        <w:pStyle w:val="FirstParagraph"/>
      </w:pPr>
      <w:r>
        <w:rPr>
          <w:b/>
          <w:bCs/>
        </w:rPr>
        <w:t xml:space="preserve">Event:</w:t>
      </w:r>
      <w:r>
        <w:t xml:space="preserve"> </w:t>
      </w:r>
      <w:r>
        <w:t xml:space="preserve">Tuesday, August 4, 2026 — 2026 Q2 earnings call</w:t>
      </w:r>
      <w:r>
        <w:br/>
      </w:r>
      <w:r>
        <w:rPr>
          <w:b/>
          <w:bCs/>
        </w:rPr>
        <w:t xml:space="preserve">Company:</w:t>
      </w:r>
      <w:r>
        <w:t xml:space="preserve"> </w:t>
      </w:r>
      <w:r>
        <w:t xml:space="preserve">Henry Schein (NASDAQ: HSIC)</w:t>
      </w:r>
    </w:p>
    <w:bookmarkStart w:id="9" w:name="X81b2d3818f03c838eb7519ce8389cc8c6659864"/>
    <w:p>
      <w:pPr>
        <w:pStyle w:val="Heading2"/>
      </w:pPr>
      <w:r>
        <w:t xml:space="preserve">Preview thesis: execution and margin conversion matter more than the headline</w:t>
      </w:r>
    </w:p>
    <w:p>
      <w:pPr>
        <w:pStyle w:val="FirstParagraph"/>
      </w:pPr>
      <w:r>
        <w:t xml:space="preserve">Henry Schein enters Q2 with a more constructive operating setup than it had a year ago: U.S. dental demand and share trends improved in Q1, technology remained a durable growth engine, and management reported early gross-margin benefits from its value-creation work. The central question for Q2 is whether those early gains are</w:t>
      </w:r>
      <w:r>
        <w:t xml:space="preserve"> </w:t>
      </w:r>
      <w:r>
        <w:rPr>
          <w:b/>
          <w:bCs/>
        </w:rPr>
        <w:t xml:space="preserve">repeatable and broadening</w:t>
      </w:r>
      <w:r>
        <w:t xml:space="preserve">—especially given easier comparisons in dental distribution, a less favorable medical-testing backdrop, and the fact that much of the targeted cost savings are expected to arrive in the second half.</w:t>
      </w:r>
    </w:p>
    <w:p>
      <w:pPr>
        <w:pStyle w:val="BodyText"/>
      </w:pPr>
      <w:r>
        <w:t xml:space="preserve">The report is therefore less about a one-quarter revenue beat than about confirming three elements of the 2026 earnings algorithm:</w:t>
      </w:r>
    </w:p>
    <w:p>
      <w:pPr>
        <w:pStyle w:val="Compact"/>
        <w:numPr>
          <w:ilvl w:val="0"/>
          <w:numId w:val="1001"/>
        </w:numPr>
      </w:pPr>
      <w:r>
        <w:rPr>
          <w:b/>
          <w:bCs/>
        </w:rPr>
        <w:t xml:space="preserve">Dental merchandise and equipment growth remains solid, with market-share gains intact.</w:t>
      </w:r>
    </w:p>
    <w:p>
      <w:pPr>
        <w:pStyle w:val="Compact"/>
        <w:numPr>
          <w:ilvl w:val="0"/>
          <w:numId w:val="1001"/>
        </w:numPr>
      </w:pPr>
      <w:r>
        <w:rPr>
          <w:b/>
          <w:bCs/>
        </w:rPr>
        <w:t xml:space="preserve">Gross-margin expansion persists despite freight, oil, tariff, and pricing volatility.</w:t>
      </w:r>
    </w:p>
    <w:p>
      <w:pPr>
        <w:pStyle w:val="Compact"/>
        <w:numPr>
          <w:ilvl w:val="0"/>
          <w:numId w:val="1001"/>
        </w:numPr>
      </w:pPr>
      <w:r>
        <w:rPr>
          <w:b/>
          <w:bCs/>
        </w:rPr>
        <w:t xml:space="preserve">Management can credibly reiterate its full-year outlook while preserving confidence in a much stronger H2 earnings cadence.</w:t>
      </w:r>
    </w:p>
    <w:bookmarkEnd w:id="9"/>
    <w:bookmarkStart w:id="11" w:name="Xad80dfbba4754cec3b3d357242ce1c055b2b71f"/>
    <w:p>
      <w:pPr>
        <w:pStyle w:val="Heading2"/>
      </w:pPr>
      <w:r>
        <w:t xml:space="preserve">Starting point: Q1 set a solid base—but contained a few qualifiers</w:t>
      </w:r>
    </w:p>
    <w:p>
      <w:pPr>
        <w:pStyle w:val="FirstParagraph"/>
      </w:pPr>
      <w:r>
        <w:t xml:space="preserve">In Q1, HSIC generated</w:t>
      </w:r>
      <w:r>
        <w:t xml:space="preserve"> </w:t>
      </w:r>
      <w:r>
        <w:rPr>
          <w:b/>
          <w:bCs/>
        </w:rPr>
        <w:t xml:space="preserve">$3.37 billion of sales</w:t>
      </w:r>
      <w:r>
        <w:t xml:space="preserve">, up</w:t>
      </w:r>
      <w:r>
        <w:t xml:space="preserve"> </w:t>
      </w:r>
      <w:r>
        <w:rPr>
          <w:b/>
          <w:bCs/>
        </w:rPr>
        <w:t xml:space="preserve">6.3% reported</w:t>
      </w:r>
      <w:r>
        <w:t xml:space="preserve"> </w:t>
      </w:r>
      <w:r>
        <w:t xml:space="preserve">and</w:t>
      </w:r>
      <w:r>
        <w:t xml:space="preserve"> </w:t>
      </w:r>
      <w:r>
        <w:rPr>
          <w:b/>
          <w:bCs/>
        </w:rPr>
        <w:t xml:space="preserve">2.5% internally in local currency</w:t>
      </w:r>
      <w:r>
        <w:t xml:space="preserve">, while non-GAAP EPS rose</w:t>
      </w:r>
      <w:r>
        <w:t xml:space="preserve"> </w:t>
      </w:r>
      <w:r>
        <w:rPr>
          <w:b/>
          <w:bCs/>
        </w:rPr>
        <w:t xml:space="preserve">14.8% to $1.32</w:t>
      </w:r>
      <w:r>
        <w:t xml:space="preserve">. Adjusted EBITDA increased</w:t>
      </w:r>
      <w:r>
        <w:t xml:space="preserve"> </w:t>
      </w:r>
      <w:r>
        <w:rPr>
          <w:b/>
          <w:bCs/>
        </w:rPr>
        <w:t xml:space="preserve">11.6% to $289 million</w:t>
      </w:r>
      <w:r>
        <w:t xml:space="preserve">. Importantly, non-GAAP operating margin expanded</w:t>
      </w:r>
      <w:r>
        <w:t xml:space="preserve"> </w:t>
      </w:r>
      <w:r>
        <w:rPr>
          <w:b/>
          <w:bCs/>
        </w:rPr>
        <w:t xml:space="preserve">28 basis points</w:t>
      </w:r>
      <w:r>
        <w:t xml:space="preserve"> </w:t>
      </w:r>
      <w:r>
        <w:t xml:space="preserve">year over year to</w:t>
      </w:r>
      <w:r>
        <w:t xml:space="preserve"> </w:t>
      </w:r>
      <w:r>
        <w:rPr>
          <w:b/>
          <w:bCs/>
        </w:rPr>
        <w:t xml:space="preserve">7.53%</w:t>
      </w:r>
      <w:r>
        <w:t xml:space="preserve">, supported by distribution and technology gross-margin improvement and business mix. (</w:t>
      </w:r>
      <w:hyperlink r:id="rId10">
        <w:r>
          <w:rPr>
            <w:rStyle w:val="Hyperlink"/>
          </w:rPr>
          <w:t xml:space="preserve">investor.henryschein.com</w:t>
        </w:r>
      </w:hyperlink>
      <w:r>
        <w:t xml:space="preserve">)</w:t>
      </w:r>
    </w:p>
    <w:p>
      <w:pPr>
        <w:pStyle w:val="BodyText"/>
      </w:pPr>
      <w:r>
        <w:t xml:space="preserve">The quality of the Q1 result was favorable in dental and technology:</w:t>
      </w:r>
    </w:p>
    <w:p>
      <w:pPr>
        <w:pStyle w:val="Compact"/>
        <w:numPr>
          <w:ilvl w:val="0"/>
          <w:numId w:val="1002"/>
        </w:numPr>
      </w:pPr>
      <w:r>
        <w:rPr>
          <w:b/>
          <w:bCs/>
        </w:rPr>
        <w:t xml:space="preserve">Global dental distribution:</w:t>
      </w:r>
      <w:r>
        <w:t xml:space="preserve"> </w:t>
      </w:r>
      <w:r>
        <w:t xml:space="preserve">+9.0% reported sales; +3.2% internal growth in local currency.</w:t>
      </w:r>
    </w:p>
    <w:p>
      <w:pPr>
        <w:pStyle w:val="Compact"/>
        <w:numPr>
          <w:ilvl w:val="0"/>
          <w:numId w:val="1002"/>
        </w:numPr>
      </w:pPr>
      <w:r>
        <w:rPr>
          <w:b/>
          <w:bCs/>
        </w:rPr>
        <w:t xml:space="preserve">Global technology:</w:t>
      </w:r>
      <w:r>
        <w:t xml:space="preserve"> </w:t>
      </w:r>
      <w:r>
        <w:t xml:space="preserve">+7.0% reported sales; +6.9% internal growth in local currency.</w:t>
      </w:r>
    </w:p>
    <w:p>
      <w:pPr>
        <w:pStyle w:val="Compact"/>
        <w:numPr>
          <w:ilvl w:val="0"/>
          <w:numId w:val="1002"/>
        </w:numPr>
      </w:pPr>
      <w:r>
        <w:rPr>
          <w:b/>
          <w:bCs/>
        </w:rPr>
        <w:t xml:space="preserve">Global medical:</w:t>
      </w:r>
      <w:r>
        <w:t xml:space="preserve"> </w:t>
      </w:r>
      <w:r>
        <w:t xml:space="preserve">only +1.7% reported and +1.3% organically, held back by a weak respiratory-testing season.</w:t>
      </w:r>
    </w:p>
    <w:p>
      <w:pPr>
        <w:pStyle w:val="Compact"/>
        <w:numPr>
          <w:ilvl w:val="0"/>
          <w:numId w:val="1002"/>
        </w:numPr>
      </w:pPr>
      <w:r>
        <w:rPr>
          <w:b/>
          <w:bCs/>
        </w:rPr>
        <w:t xml:space="preserve">Global specialty products:</w:t>
      </w:r>
      <w:r>
        <w:t xml:space="preserve"> </w:t>
      </w:r>
      <w:r>
        <w:t xml:space="preserve">+8.1% reported, but only +1.7% internal growth, reflecting softer premium-implant demand and a mix shift toward faster-growing value implants. (</w:t>
      </w:r>
      <w:hyperlink r:id="rId10">
        <w:r>
          <w:rPr>
            <w:rStyle w:val="Hyperlink"/>
          </w:rPr>
          <w:t xml:space="preserve">investor.henryschein.com</w:t>
        </w:r>
      </w:hyperlink>
      <w:r>
        <w:t xml:space="preserve">)</w:t>
      </w:r>
    </w:p>
    <w:p>
      <w:pPr>
        <w:pStyle w:val="FirstParagraph"/>
      </w:pPr>
      <w:r>
        <w:t xml:space="preserve">One caveat: Q1 included an approximately</w:t>
      </w:r>
      <w:r>
        <w:t xml:space="preserve"> </w:t>
      </w:r>
      <m:oMath>
        <m:r>
          <m:t>11</m:t>
        </m:r>
        <m:r>
          <m:t>m</m:t>
        </m:r>
        <m:r>
          <m:t>i</m:t>
        </m:r>
        <m:r>
          <m:t>l</m:t>
        </m:r>
        <m:r>
          <m:t>l</m:t>
        </m:r>
        <m:r>
          <m:t>i</m:t>
        </m:r>
        <m:r>
          <m:t>o</m:t>
        </m:r>
        <m:r>
          <m:t>n</m:t>
        </m:r>
        <m:r>
          <m:t>r</m:t>
        </m:r>
        <m:r>
          <m:t>e</m:t>
        </m:r>
        <m:r>
          <m:t>m</m:t>
        </m:r>
        <m:r>
          <m:t>e</m:t>
        </m:r>
        <m:r>
          <m:t>a</m:t>
        </m:r>
        <m:r>
          <m:t>s</m:t>
        </m:r>
        <m:r>
          <m:t>u</m:t>
        </m:r>
        <m:r>
          <m:t>r</m:t>
        </m:r>
        <m:r>
          <m:t>e</m:t>
        </m:r>
        <m:r>
          <m:t>m</m:t>
        </m:r>
        <m:r>
          <m:t>e</m:t>
        </m:r>
        <m:r>
          <m:t>n</m:t>
        </m:r>
        <m:r>
          <m:t>t</m:t>
        </m:r>
        <m:r>
          <m:t>g</m:t>
        </m:r>
        <m:r>
          <m:t>a</m:t>
        </m:r>
        <m:r>
          <m:t>i</m:t>
        </m:r>
        <m:r>
          <m:t>n</m:t>
        </m:r>
        <m:r>
          <m:rPr>
            <m:sty m:val="p"/>
          </m:rPr>
          <m:t>*</m:t>
        </m:r>
        <m:r>
          <m:rPr>
            <m:sty m:val="p"/>
          </m:rPr>
          <m:t>*</m:t>
        </m:r>
        <m:r>
          <m:rPr>
            <m:sty m:val="p"/>
          </m:rPr>
          <m:t>,</m:t>
        </m:r>
        <m:r>
          <m:t>o</m:t>
        </m:r>
        <m:r>
          <m:t>r</m:t>
        </m:r>
        <m:r>
          <m:t>r</m:t>
        </m:r>
        <m:r>
          <m:t>o</m:t>
        </m:r>
        <m:r>
          <m:t>u</m:t>
        </m:r>
        <m:r>
          <m:t>g</m:t>
        </m:r>
        <m:r>
          <m:t>h</m:t>
        </m:r>
        <m:r>
          <m:t>l</m:t>
        </m:r>
        <m:r>
          <m:t>y</m:t>
        </m:r>
        <m:r>
          <m:rPr>
            <m:sty m:val="p"/>
          </m:rPr>
          <m:t>*</m:t>
        </m:r>
        <m:r>
          <m:rPr>
            <m:sty m:val="p"/>
          </m:rPr>
          <m:t>*</m:t>
        </m:r>
      </m:oMath>
      <w:r>
        <w:rPr>
          <w:b/>
          <w:bCs/>
        </w:rPr>
        <w:t xml:space="preserve">0.07 per diluted share</w:t>
      </w:r>
      <w:r>
        <w:t xml:space="preserve">, from taking control of S.I.N. 360. That gain was not excluded from reported non-GAAP EPS, so investors should assess Q2 profitability against an approximately</w:t>
      </w:r>
      <w:r>
        <w:t xml:space="preserve"> </w:t>
      </w:r>
      <w:r>
        <w:rPr>
          <w:b/>
          <w:bCs/>
        </w:rPr>
        <w:t xml:space="preserve">$1.25 underlying Q1 EPS base</w:t>
      </w:r>
      <w:r>
        <w:t xml:space="preserve">, rather than mechanically annualizing $1.32.</w:t>
      </w:r>
    </w:p>
    <w:bookmarkEnd w:id="11"/>
    <w:bookmarkStart w:id="18" w:name="what-investors-should-watch"/>
    <w:p>
      <w:pPr>
        <w:pStyle w:val="Heading2"/>
      </w:pPr>
      <w:r>
        <w:t xml:space="preserve">What investors should watch</w:t>
      </w:r>
    </w:p>
    <w:bookmarkStart w:id="12" w:name="X84fe726b7f377889ea7e8953ea2c970813a2256"/>
    <w:p>
      <w:pPr>
        <w:pStyle w:val="Heading3"/>
      </w:pPr>
      <w:r>
        <w:t xml:space="preserve">1. U.S. dental momentum—and whether it is share-led or market-led</w:t>
      </w:r>
    </w:p>
    <w:p>
      <w:pPr>
        <w:pStyle w:val="FirstParagraph"/>
      </w:pPr>
      <w:r>
        <w:t xml:space="preserve">The most important underlying sales signal is U.S. dental. In Q1, U.S. dental merchandise grew</w:t>
      </w:r>
      <w:r>
        <w:t xml:space="preserve"> </w:t>
      </w:r>
      <w:r>
        <w:rPr>
          <w:b/>
          <w:bCs/>
        </w:rPr>
        <w:t xml:space="preserve">4.1% internally</w:t>
      </w:r>
      <w:r>
        <w:t xml:space="preserve"> </w:t>
      </w:r>
      <w:r>
        <w:t xml:space="preserve">and equipment grew</w:t>
      </w:r>
      <w:r>
        <w:t xml:space="preserve"> </w:t>
      </w:r>
      <w:r>
        <w:rPr>
          <w:b/>
          <w:bCs/>
        </w:rPr>
        <w:t xml:space="preserve">3.4% internally</w:t>
      </w:r>
      <w:r>
        <w:t xml:space="preserve">, with management attributing the strength to share gains, price, and stable-to-improving procedure activity. Management also highlighted DSO growth, healthy traditional-equipment demand, and a stable equipment backlog. (</w:t>
      </w:r>
      <w:hyperlink r:id="rId10">
        <w:r>
          <w:rPr>
            <w:rStyle w:val="Hyperlink"/>
          </w:rPr>
          <w:t xml:space="preserve">investor.henryschein.com</w:t>
        </w:r>
      </w:hyperlink>
      <w:r>
        <w:t xml:space="preserve">)</w:t>
      </w:r>
    </w:p>
    <w:p>
      <w:pPr>
        <w:pStyle w:val="BodyText"/>
      </w:pPr>
      <w:r>
        <w:t xml:space="preserve">This is particularly relevant against the Q2 2025 comparison, when U.S. dental merchandise fell</w:t>
      </w:r>
      <w:r>
        <w:t xml:space="preserve"> </w:t>
      </w:r>
      <w:r>
        <w:rPr>
          <w:b/>
          <w:bCs/>
        </w:rPr>
        <w:t xml:space="preserve">1.2%</w:t>
      </w:r>
      <w:r>
        <w:t xml:space="preserve"> </w:t>
      </w:r>
      <w:r>
        <w:t xml:space="preserve">and U.S. dental equipment fell</w:t>
      </w:r>
      <w:r>
        <w:t xml:space="preserve"> </w:t>
      </w:r>
      <w:r>
        <w:rPr>
          <w:b/>
          <w:bCs/>
        </w:rPr>
        <w:t xml:space="preserve">4.7%</w:t>
      </w:r>
      <w:r>
        <w:t xml:space="preserve"> </w:t>
      </w:r>
      <w:r>
        <w:t xml:space="preserve">amid lower glove prices, promotional activity, and tariff-related uncertainty. HSIC should face an easier year-over-year setup in Q2 2026, but investors will want to distinguish between:</w:t>
      </w:r>
    </w:p>
    <w:p>
      <w:pPr>
        <w:pStyle w:val="Compact"/>
        <w:numPr>
          <w:ilvl w:val="0"/>
          <w:numId w:val="1003"/>
        </w:numPr>
      </w:pPr>
      <w:r>
        <w:t xml:space="preserve">genuine demand / procedure-volume improvement,</w:t>
      </w:r>
    </w:p>
    <w:p>
      <w:pPr>
        <w:pStyle w:val="Compact"/>
        <w:numPr>
          <w:ilvl w:val="0"/>
          <w:numId w:val="1003"/>
        </w:numPr>
      </w:pPr>
      <w:r>
        <w:t xml:space="preserve">continued customer and DSO share gains,</w:t>
      </w:r>
    </w:p>
    <w:p>
      <w:pPr>
        <w:pStyle w:val="Compact"/>
        <w:numPr>
          <w:ilvl w:val="0"/>
          <w:numId w:val="1003"/>
        </w:numPr>
      </w:pPr>
      <w:r>
        <w:t xml:space="preserve">price realization and corporate-brand mix, and</w:t>
      </w:r>
    </w:p>
    <w:p>
      <w:pPr>
        <w:pStyle w:val="Compact"/>
        <w:numPr>
          <w:ilvl w:val="0"/>
          <w:numId w:val="1003"/>
        </w:numPr>
      </w:pPr>
      <w:r>
        <w:t xml:space="preserve">recovery from last year’s comparatively weak base.</w:t>
      </w:r>
    </w:p>
    <w:p>
      <w:pPr>
        <w:pStyle w:val="FirstParagraph"/>
      </w:pPr>
      <w:r>
        <w:rPr>
          <w:b/>
          <w:bCs/>
        </w:rPr>
        <w:t xml:space="preserve">Constructive outcome:</w:t>
      </w:r>
      <w:r>
        <w:t xml:space="preserve"> </w:t>
      </w:r>
      <w:r>
        <w:t xml:space="preserve">sustained mid-single-digit U.S. dental organic growth, led by merchandise, traditional equipment, and corporate brands.</w:t>
      </w:r>
      <w:r>
        <w:br/>
      </w:r>
      <w:r>
        <w:rPr>
          <w:b/>
          <w:bCs/>
        </w:rPr>
        <w:t xml:space="preserve">Risk signal:</w:t>
      </w:r>
      <w:r>
        <w:t xml:space="preserve"> </w:t>
      </w:r>
      <w:r>
        <w:t xml:space="preserve">growth driven mostly by price while volumes, digital equipment, or smaller-practice demand weaken.</w:t>
      </w:r>
    </w:p>
    <w:bookmarkEnd w:id="12"/>
    <w:bookmarkStart w:id="14" w:name="Xa236c70afc5bb9844d915f6f617720a5d8d3b33"/>
    <w:p>
      <w:pPr>
        <w:pStyle w:val="Heading3"/>
      </w:pPr>
      <w:r>
        <w:t xml:space="preserve">2. Gross margin: the key swing factor</w:t>
      </w:r>
    </w:p>
    <w:p>
      <w:pPr>
        <w:pStyle w:val="FirstParagraph"/>
      </w:pPr>
      <w:r>
        <w:t xml:space="preserve">Margin is likely the most market-sensitive KPI. Q1’s distribution gross margin improved on better pricing execution, higher corporate-brand mix, supplier economics, and early benefits from gross-profit initiatives. Management indicated that the Q1 improvement was not solely a one-time event and expected benefits to build over the year. (</w:t>
      </w:r>
      <w:hyperlink r:id="rId13">
        <w:r>
          <w:rPr>
            <w:rStyle w:val="Hyperlink"/>
          </w:rPr>
          <w:t xml:space="preserve">investor.henryschein.com</w:t>
        </w:r>
      </w:hyperlink>
      <w:r>
        <w:t xml:space="preserve">)</w:t>
      </w:r>
    </w:p>
    <w:p>
      <w:pPr>
        <w:pStyle w:val="BodyText"/>
      </w:pPr>
      <w:r>
        <w:t xml:space="preserve">For Q2, investors should focus on:</w:t>
      </w:r>
    </w:p>
    <w:p>
      <w:pPr>
        <w:pStyle w:val="Compact"/>
        <w:numPr>
          <w:ilvl w:val="0"/>
          <w:numId w:val="1004"/>
        </w:numPr>
      </w:pPr>
      <w:r>
        <w:t xml:space="preserve">total and segment gross-margin progression;</w:t>
      </w:r>
    </w:p>
    <w:p>
      <w:pPr>
        <w:pStyle w:val="Compact"/>
        <w:numPr>
          <w:ilvl w:val="0"/>
          <w:numId w:val="1004"/>
        </w:numPr>
      </w:pPr>
      <w:r>
        <w:t xml:space="preserve">corporate-brand growth relative to the rest of the portfolio;</w:t>
      </w:r>
    </w:p>
    <w:p>
      <w:pPr>
        <w:pStyle w:val="Compact"/>
        <w:numPr>
          <w:ilvl w:val="0"/>
          <w:numId w:val="1004"/>
        </w:numPr>
      </w:pPr>
      <w:r>
        <w:t xml:space="preserve">supplier rebates and promotional intensity;</w:t>
      </w:r>
    </w:p>
    <w:p>
      <w:pPr>
        <w:pStyle w:val="Compact"/>
        <w:numPr>
          <w:ilvl w:val="0"/>
          <w:numId w:val="1004"/>
        </w:numPr>
      </w:pPr>
      <w:r>
        <w:t xml:space="preserve">the ability to pass through or mitigate freight and fuel-cost pressure;</w:t>
      </w:r>
    </w:p>
    <w:p>
      <w:pPr>
        <w:pStyle w:val="Compact"/>
        <w:numPr>
          <w:ilvl w:val="0"/>
          <w:numId w:val="1004"/>
        </w:numPr>
      </w:pPr>
      <w:r>
        <w:t xml:space="preserve">whether specialty-product mix continues to dilute gross margin.</w:t>
      </w:r>
    </w:p>
    <w:p>
      <w:pPr>
        <w:pStyle w:val="FirstParagraph"/>
      </w:pPr>
      <w:r>
        <w:t xml:space="preserve">The bull case is that HSIC is moving from episodic restructuring to a more durable commercial and procurement playbook: better value pricing, increased owned-brand penetration, procurement savings, and simplified operations. The bear case is that a competitive distribution market limits price capture just as freight, tariff, and input costs rise.</w:t>
      </w:r>
    </w:p>
    <w:bookmarkEnd w:id="14"/>
    <w:bookmarkStart w:id="15" w:name="Xbcc2822a5e79c50ad0b7cc8c5c6e43c7d3f1157"/>
    <w:p>
      <w:pPr>
        <w:pStyle w:val="Heading3"/>
      </w:pPr>
      <w:r>
        <w:t xml:space="preserve">3. Medical: normalization after the light flu season</w:t>
      </w:r>
    </w:p>
    <w:p>
      <w:pPr>
        <w:pStyle w:val="FirstParagraph"/>
      </w:pPr>
      <w:r>
        <w:t xml:space="preserve">Medical was the weak point in Q1 because respiratory diagnostic products—roughly 15%–20% of the medical business, according to management—declined with a light flu season. Excluding that category, management said medical would have grown in the mid-single digits, supported by Home Solutions and dialysis.</w:t>
      </w:r>
    </w:p>
    <w:p>
      <w:pPr>
        <w:pStyle w:val="BodyText"/>
      </w:pPr>
      <w:r>
        <w:t xml:space="preserve">That makes Q2 a useful read on the</w:t>
      </w:r>
      <w:r>
        <w:t xml:space="preserve"> </w:t>
      </w:r>
      <w:r>
        <w:rPr>
          <w:b/>
          <w:bCs/>
        </w:rPr>
        <w:t xml:space="preserve">underlying medical run rate</w:t>
      </w:r>
      <w:r>
        <w:t xml:space="preserve">. Investors should look for mid-single-digit growth excluding respiratory testing, and for commentary on office-based utilization, reimbursement exposure, and alternate-site-of-care demand. A renewed deceleration outside of diagnostics would undermine the argument that Q1 was merely a seasonal-testing issue.</w:t>
      </w:r>
    </w:p>
    <w:bookmarkEnd w:id="15"/>
    <w:bookmarkStart w:id="16" w:name="X843dcb0c765c32449fec189999e2f35f3f0bc4b"/>
    <w:p>
      <w:pPr>
        <w:pStyle w:val="Heading3"/>
      </w:pPr>
      <w:r>
        <w:t xml:space="preserve">4. Specialty products: can implants reaccelerate?</w:t>
      </w:r>
    </w:p>
    <w:p>
      <w:pPr>
        <w:pStyle w:val="FirstParagraph"/>
      </w:pPr>
      <w:r>
        <w:t xml:space="preserve">Specialty was the least convincing piece of Q1. Value implants grew at a high-single-digit rate, but premium implants were flat to lower, especially in the United States. The value mix is strategically attractive for growth, but it carries lower gross margins and therefore creates a trade-off between sales acceleration and near-term profitability.</w:t>
      </w:r>
    </w:p>
    <w:p>
      <w:pPr>
        <w:pStyle w:val="BodyText"/>
      </w:pPr>
      <w:r>
        <w:t xml:space="preserve">The key questions are:</w:t>
      </w:r>
    </w:p>
    <w:p>
      <w:pPr>
        <w:pStyle w:val="Compact"/>
        <w:numPr>
          <w:ilvl w:val="0"/>
          <w:numId w:val="1005"/>
        </w:numPr>
      </w:pPr>
      <w:r>
        <w:t xml:space="preserve">Has premium implant demand stabilized?</w:t>
      </w:r>
    </w:p>
    <w:p>
      <w:pPr>
        <w:pStyle w:val="Compact"/>
        <w:numPr>
          <w:ilvl w:val="0"/>
          <w:numId w:val="1005"/>
        </w:numPr>
      </w:pPr>
      <w:r>
        <w:t xml:space="preserve">Did the timing-related customer purchases cited in Q1 reverse in Q2?</w:t>
      </w:r>
    </w:p>
    <w:p>
      <w:pPr>
        <w:pStyle w:val="Compact"/>
        <w:numPr>
          <w:ilvl w:val="0"/>
          <w:numId w:val="1005"/>
        </w:numPr>
      </w:pPr>
      <w:r>
        <w:t xml:space="preserve">Is S.I.N. integration creating cross-selling or back-office benefits?</w:t>
      </w:r>
    </w:p>
    <w:p>
      <w:pPr>
        <w:pStyle w:val="Compact"/>
        <w:numPr>
          <w:ilvl w:val="0"/>
          <w:numId w:val="1005"/>
        </w:numPr>
      </w:pPr>
      <w:r>
        <w:t xml:space="preserve">Can specialty internal growth move meaningfully above Q1’s 1.7%?</w:t>
      </w:r>
    </w:p>
    <w:p>
      <w:pPr>
        <w:pStyle w:val="FirstParagraph"/>
      </w:pPr>
      <w:r>
        <w:t xml:space="preserve">A specialty recovery would strengthen the narrative that HSIC’s higher-growth, higher-margin businesses can become a larger share of earnings over time. Continued softness would keep the focus on distribution margin improvement rather than organic specialty-led growth.</w:t>
      </w:r>
    </w:p>
    <w:bookmarkEnd w:id="16"/>
    <w:bookmarkStart w:id="17" w:name="X9ea0020a21bada5974b459163dcbbb516cafbff"/>
    <w:p>
      <w:pPr>
        <w:pStyle w:val="Heading3"/>
      </w:pPr>
      <w:r>
        <w:t xml:space="preserve">5. Technology remains a strategic bright spot</w:t>
      </w:r>
    </w:p>
    <w:p>
      <w:pPr>
        <w:pStyle w:val="FirstParagraph"/>
      </w:pPr>
      <w:r>
        <w:t xml:space="preserve">Technology grew</w:t>
      </w:r>
      <w:r>
        <w:t xml:space="preserve"> </w:t>
      </w:r>
      <w:r>
        <w:rPr>
          <w:b/>
          <w:bCs/>
        </w:rPr>
        <w:t xml:space="preserve">6.9% internally</w:t>
      </w:r>
      <w:r>
        <w:t xml:space="preserve"> </w:t>
      </w:r>
      <w:r>
        <w:t xml:space="preserve">in Q1, with cloud-based customer counts up roughly 25% year over year and more than 13,000 Dentrix Ascend and Dentally subscribers. Management is also positioning AI-enabled workflow solutions as a longer-term growth opportunity. (</w:t>
      </w:r>
      <w:hyperlink r:id="rId13">
        <w:r>
          <w:rPr>
            <w:rStyle w:val="Hyperlink"/>
          </w:rPr>
          <w:t xml:space="preserve">investor.henryschein.com</w:t>
        </w:r>
      </w:hyperlink>
      <w:r>
        <w:t xml:space="preserve">)</w:t>
      </w:r>
    </w:p>
    <w:p>
      <w:pPr>
        <w:pStyle w:val="BodyText"/>
      </w:pPr>
      <w:r>
        <w:t xml:space="preserve">Technology is still small relative to distribution, but it is disproportionately important to the long-term mix story because of its higher gross margins, recurring characteristics, and ability to deepen customer relationships. Q2 investors should watch for continued high-single-digit organic growth, subscriber additions, AI product adoption, and signs that technology is improving customer retention or cross-selling in dental.</w:t>
      </w:r>
    </w:p>
    <w:bookmarkEnd w:id="17"/>
    <w:bookmarkEnd w:id="18"/>
    <w:bookmarkStart w:id="19" w:name="X542ded5315409baf9abf02ff66aa02a0cb68874"/>
    <w:p>
      <w:pPr>
        <w:pStyle w:val="Heading2"/>
      </w:pPr>
      <w:r>
        <w:t xml:space="preserve">Guidance: reaffirmation is the base case, but the cadence matters</w:t>
      </w:r>
    </w:p>
    <w:p>
      <w:pPr>
        <w:pStyle w:val="FirstParagraph"/>
      </w:pPr>
      <w:r>
        <w:t xml:space="preserve">HSIC reaffirmed 2026 guidance in Q1 for:</w:t>
      </w:r>
    </w:p>
    <w:p>
      <w:pPr>
        <w:pStyle w:val="Compact"/>
        <w:numPr>
          <w:ilvl w:val="0"/>
          <w:numId w:val="1006"/>
        </w:numPr>
      </w:pPr>
      <w:r>
        <w:rPr>
          <w:b/>
          <w:bCs/>
        </w:rPr>
        <w:t xml:space="preserve">3%–5% total sales growth</w:t>
      </w:r>
    </w:p>
    <w:p>
      <w:pPr>
        <w:pStyle w:val="Compact"/>
        <w:numPr>
          <w:ilvl w:val="0"/>
          <w:numId w:val="1006"/>
        </w:numPr>
      </w:pPr>
      <m:oMath>
        <m:r>
          <m:t>5.23</m:t>
        </m:r>
        <m:r>
          <m:rPr>
            <m:sty m:val="p"/>
          </m:rPr>
          <m:t>–</m:t>
        </m:r>
      </m:oMath>
      <w:r>
        <w:rPr>
          <w:b/>
          <w:bCs/>
        </w:rPr>
        <w:t xml:space="preserve">5.37 non-GAAP diluted EPS</w:t>
      </w:r>
    </w:p>
    <w:p>
      <w:pPr>
        <w:pStyle w:val="Compact"/>
        <w:numPr>
          <w:ilvl w:val="0"/>
          <w:numId w:val="1006"/>
        </w:numPr>
      </w:pPr>
      <w:r>
        <w:rPr>
          <w:b/>
          <w:bCs/>
        </w:rPr>
        <w:t xml:space="preserve">mid-single-digit Adjusted EBITDA growth</w:t>
      </w:r>
      <w:r>
        <w:t xml:space="preserve"> </w:t>
      </w:r>
      <w:r>
        <w:t xml:space="preserve">(</w:t>
      </w:r>
      <w:hyperlink r:id="rId10">
        <w:r>
          <w:rPr>
            <w:rStyle w:val="Hyperlink"/>
          </w:rPr>
          <w:t xml:space="preserve">investor.henryschein.com</w:t>
        </w:r>
      </w:hyperlink>
      <w:r>
        <w:t xml:space="preserve">)</w:t>
      </w:r>
    </w:p>
    <w:p>
      <w:pPr>
        <w:pStyle w:val="FirstParagraph"/>
      </w:pPr>
      <w:r>
        <w:t xml:space="preserve">After Q1’s</w:t>
      </w:r>
      <w:r>
        <w:t xml:space="preserve"> </w:t>
      </w:r>
      <m:oMath>
        <m:r>
          <m:t>1.32</m:t>
        </m:r>
        <m:r>
          <m:t>o</m:t>
        </m:r>
        <m:r>
          <m:t>f</m:t>
        </m:r>
        <m:r>
          <m:t>n</m:t>
        </m:r>
        <m:r>
          <m:t>o</m:t>
        </m:r>
        <m:r>
          <m:t>n</m:t>
        </m:r>
        <m:r>
          <m:rPr>
            <m:sty m:val="p"/>
          </m:rPr>
          <m:t>−</m:t>
        </m:r>
        <m:r>
          <m:t>G</m:t>
        </m:r>
        <m:r>
          <m:t>A</m:t>
        </m:r>
        <m:r>
          <m:t>A</m:t>
        </m:r>
        <m:r>
          <m:t>P</m:t>
        </m:r>
        <m:r>
          <m:t>E</m:t>
        </m:r>
        <m:r>
          <m:t>P</m:t>
        </m:r>
        <m:r>
          <m:t>S</m:t>
        </m:r>
        <m:r>
          <m:rPr>
            <m:sty m:val="p"/>
          </m:rPr>
          <m:t>,</m:t>
        </m:r>
        <m:r>
          <m:t>t</m:t>
        </m:r>
        <m:r>
          <m:t>h</m:t>
        </m:r>
        <m:r>
          <m:t>e</m:t>
        </m:r>
        <m:r>
          <m:t>c</m:t>
        </m:r>
        <m:r>
          <m:t>o</m:t>
        </m:r>
        <m:r>
          <m:t>m</m:t>
        </m:r>
        <m:r>
          <m:t>p</m:t>
        </m:r>
        <m:r>
          <m:t>a</m:t>
        </m:r>
        <m:r>
          <m:t>n</m:t>
        </m:r>
        <m:r>
          <m:t>y</m:t>
        </m:r>
        <m:r>
          <m:t>n</m:t>
        </m:r>
        <m:r>
          <m:t>e</m:t>
        </m:r>
        <m:r>
          <m:t>e</m:t>
        </m:r>
        <m:r>
          <m:t>d</m:t>
        </m:r>
        <m:r>
          <m:t>s</m:t>
        </m:r>
        <m:r>
          <m:t>r</m:t>
        </m:r>
        <m:r>
          <m:t>o</m:t>
        </m:r>
        <m:r>
          <m:t>u</m:t>
        </m:r>
        <m:r>
          <m:t>g</m:t>
        </m:r>
        <m:r>
          <m:t>h</m:t>
        </m:r>
        <m:r>
          <m:t>l</m:t>
        </m:r>
        <m:r>
          <m:t>y</m:t>
        </m:r>
        <m:r>
          <m:rPr>
            <m:sty m:val="p"/>
          </m:rPr>
          <m:t>*</m:t>
        </m:r>
        <m:r>
          <m:rPr>
            <m:sty m:val="p"/>
          </m:rPr>
          <m:t>*</m:t>
        </m:r>
      </m:oMath>
      <w:r>
        <w:t xml:space="preserve">3.91–</w:t>
      </w:r>
      <m:oMath>
        <m:r>
          <m:t>4.05</m:t>
        </m:r>
        <m:r>
          <m:rPr>
            <m:sty m:val="p"/>
          </m:rPr>
          <m:t>*</m:t>
        </m:r>
        <m:r>
          <m:rPr>
            <m:sty m:val="p"/>
          </m:rPr>
          <m:t>*</m:t>
        </m:r>
        <m:r>
          <m:t>a</m:t>
        </m:r>
        <m:r>
          <m:t>c</m:t>
        </m:r>
        <m:r>
          <m:t>r</m:t>
        </m:r>
        <m:r>
          <m:t>o</m:t>
        </m:r>
        <m:r>
          <m:t>s</m:t>
        </m:r>
        <m:r>
          <m:t>s</m:t>
        </m:r>
        <m:r>
          <m:t>Q</m:t>
        </m:r>
        <m:r>
          <m:t>2</m:t>
        </m:r>
        <m:r>
          <m:rPr>
            <m:sty m:val="p"/>
          </m:rPr>
          <m:t>–</m:t>
        </m:r>
        <m:r>
          <m:t>Q</m:t>
        </m:r>
        <m:r>
          <m:t>4</m:t>
        </m:r>
        <m:r>
          <m:t>t</m:t>
        </m:r>
        <m:r>
          <m:t>o</m:t>
        </m:r>
        <m:r>
          <m:t>d</m:t>
        </m:r>
        <m:r>
          <m:t>e</m:t>
        </m:r>
        <m:r>
          <m:t>l</m:t>
        </m:r>
        <m:r>
          <m:t>i</m:t>
        </m:r>
        <m:r>
          <m:t>v</m:t>
        </m:r>
        <m:r>
          <m:t>e</m:t>
        </m:r>
        <m:r>
          <m:t>r</m:t>
        </m:r>
        <m:r>
          <m:t>i</m:t>
        </m:r>
        <m:r>
          <m:t>t</m:t>
        </m:r>
        <m:r>
          <m:t>s</m:t>
        </m:r>
        <m:r>
          <m:t>f</m:t>
        </m:r>
        <m:r>
          <m:t>u</m:t>
        </m:r>
        <m:r>
          <m:t>l</m:t>
        </m:r>
        <m:r>
          <m:t>l</m:t>
        </m:r>
        <m:r>
          <m:rPr>
            <m:sty m:val="p"/>
          </m:rPr>
          <m:t>−</m:t>
        </m:r>
        <m:r>
          <m:t>y</m:t>
        </m:r>
        <m:r>
          <m:t>e</m:t>
        </m:r>
        <m:r>
          <m:t>a</m:t>
        </m:r>
        <m:r>
          <m:t>r</m:t>
        </m:r>
        <m:r>
          <m:t>r</m:t>
        </m:r>
        <m:r>
          <m:t>a</m:t>
        </m:r>
        <m:r>
          <m:t>n</m:t>
        </m:r>
        <m:r>
          <m:t>g</m:t>
        </m:r>
        <m:r>
          <m:t>e</m:t>
        </m:r>
        <m:r>
          <m:rPr>
            <m:sty m:val="p"/>
          </m:rPr>
          <m:t>.</m:t>
        </m:r>
        <m:r>
          <m:t>T</m:t>
        </m:r>
        <m:r>
          <m:t>h</m:t>
        </m:r>
        <m:r>
          <m:t>a</m:t>
        </m:r>
        <m:r>
          <m:t>t</m:t>
        </m:r>
        <m:r>
          <m:t>i</m:t>
        </m:r>
        <m:r>
          <m:t>s</m:t>
        </m:r>
        <m:r>
          <m:t>a</m:t>
        </m:r>
        <m:r>
          <m:t>c</m:t>
        </m:r>
        <m:r>
          <m:t>h</m:t>
        </m:r>
        <m:r>
          <m:t>i</m:t>
        </m:r>
        <m:r>
          <m:t>e</m:t>
        </m:r>
        <m:r>
          <m:t>v</m:t>
        </m:r>
        <m:r>
          <m:t>a</m:t>
        </m:r>
        <m:r>
          <m:t>b</m:t>
        </m:r>
        <m:r>
          <m:t>l</m:t>
        </m:r>
        <m:r>
          <m:t>e</m:t>
        </m:r>
        <m:r>
          <m:rPr>
            <m:sty m:val="p"/>
          </m:rPr>
          <m:t>,</m:t>
        </m:r>
        <m:r>
          <m:t>b</m:t>
        </m:r>
        <m:r>
          <m:t>u</m:t>
        </m:r>
        <m:r>
          <m:t>t</m:t>
        </m:r>
        <m:r>
          <m:t>i</m:t>
        </m:r>
        <m:r>
          <m:t>t</m:t>
        </m:r>
        <m:r>
          <m:t>r</m:t>
        </m:r>
        <m:r>
          <m:t>e</m:t>
        </m:r>
        <m:r>
          <m:t>q</m:t>
        </m:r>
        <m:r>
          <m:t>u</m:t>
        </m:r>
        <m:r>
          <m:t>i</m:t>
        </m:r>
        <m:r>
          <m:t>r</m:t>
        </m:r>
        <m:r>
          <m:t>e</m:t>
        </m:r>
        <m:r>
          <m:t>s</m:t>
        </m:r>
        <m:r>
          <m:t>t</m:t>
        </m:r>
        <m:r>
          <m:t>h</m:t>
        </m:r>
        <m:r>
          <m:t>e</m:t>
        </m:r>
        <m:r>
          <m:t>e</m:t>
        </m:r>
        <m:r>
          <m:t>x</m:t>
        </m:r>
        <m:r>
          <m:t>p</m:t>
        </m:r>
        <m:r>
          <m:t>e</m:t>
        </m:r>
        <m:r>
          <m:t>c</m:t>
        </m:r>
        <m:r>
          <m:t>t</m:t>
        </m:r>
        <m:r>
          <m:t>e</m:t>
        </m:r>
        <m:r>
          <m:t>d</m:t>
        </m:r>
        <m:r>
          <m:t>s</m:t>
        </m:r>
        <m:r>
          <m:t>e</m:t>
        </m:r>
        <m:r>
          <m:t>c</m:t>
        </m:r>
        <m:r>
          <m:t>o</m:t>
        </m:r>
        <m:r>
          <m:t>n</m:t>
        </m:r>
        <m:r>
          <m:t>d</m:t>
        </m:r>
        <m:r>
          <m:rPr>
            <m:sty m:val="p"/>
          </m:rPr>
          <m:t>−</m:t>
        </m:r>
        <m:r>
          <m:t>h</m:t>
        </m:r>
        <m:r>
          <m:t>a</m:t>
        </m:r>
        <m:r>
          <m:t>l</m:t>
        </m:r>
        <m:r>
          <m:t>f</m:t>
        </m:r>
        <m:r>
          <m:t>a</m:t>
        </m:r>
        <m:r>
          <m:t>c</m:t>
        </m:r>
        <m:r>
          <m:t>c</m:t>
        </m:r>
        <m:r>
          <m:t>e</m:t>
        </m:r>
        <m:r>
          <m:t>l</m:t>
        </m:r>
        <m:r>
          <m:t>e</m:t>
        </m:r>
        <m:r>
          <m:t>r</m:t>
        </m:r>
        <m:r>
          <m:t>a</m:t>
        </m:r>
        <m:r>
          <m:t>t</m:t>
        </m:r>
        <m:r>
          <m:t>i</m:t>
        </m:r>
        <m:r>
          <m:t>o</m:t>
        </m:r>
        <m:r>
          <m:t>n</m:t>
        </m:r>
        <m:r>
          <m:t>i</m:t>
        </m:r>
        <m:r>
          <m:t>n</m:t>
        </m:r>
        <m:r>
          <m:t>s</m:t>
        </m:r>
        <m:r>
          <m:t>a</m:t>
        </m:r>
        <m:r>
          <m:t>v</m:t>
        </m:r>
        <m:r>
          <m:t>i</m:t>
        </m:r>
        <m:r>
          <m:t>n</m:t>
        </m:r>
        <m:r>
          <m:t>g</m:t>
        </m:r>
        <m:r>
          <m:t>s</m:t>
        </m:r>
        <m:r>
          <m:t>a</m:t>
        </m:r>
        <m:r>
          <m:t>n</m:t>
        </m:r>
        <m:r>
          <m:t>d</m:t>
        </m:r>
        <m:r>
          <m:t>m</m:t>
        </m:r>
        <m:r>
          <m:t>a</m:t>
        </m:r>
        <m:r>
          <m:t>r</m:t>
        </m:r>
        <m:r>
          <m:t>g</m:t>
        </m:r>
        <m:r>
          <m:t>i</m:t>
        </m:r>
        <m:r>
          <m:t>n</m:t>
        </m:r>
        <m:r>
          <m:t>e</m:t>
        </m:r>
        <m:r>
          <m:t>x</m:t>
        </m:r>
        <m:r>
          <m:t>p</m:t>
        </m:r>
        <m:r>
          <m:t>a</m:t>
        </m:r>
        <m:r>
          <m:t>n</m:t>
        </m:r>
        <m:r>
          <m:t>s</m:t>
        </m:r>
        <m:r>
          <m:t>i</m:t>
        </m:r>
        <m:r>
          <m:t>o</m:t>
        </m:r>
        <m:r>
          <m:t>n</m:t>
        </m:r>
        <m:r>
          <m:rPr>
            <m:sty m:val="p"/>
          </m:rPr>
          <m:t>.</m:t>
        </m:r>
        <m:r>
          <m:t>M</m:t>
        </m:r>
        <m:r>
          <m:t>a</m:t>
        </m:r>
        <m:r>
          <m:t>n</m:t>
        </m:r>
        <m:r>
          <m:t>a</m:t>
        </m:r>
        <m:r>
          <m:t>g</m:t>
        </m:r>
        <m:r>
          <m:t>e</m:t>
        </m:r>
        <m:r>
          <m:t>m</m:t>
        </m:r>
        <m:r>
          <m:t>e</m:t>
        </m:r>
        <m:r>
          <m:t>n</m:t>
        </m:r>
        <m:r>
          <m:t>t</m:t>
        </m:r>
        <m:r>
          <m:t>h</m:t>
        </m:r>
        <m:r>
          <m:t>a</m:t>
        </m:r>
        <m:r>
          <m:t>s</m:t>
        </m:r>
        <m:r>
          <m:t>e</m:t>
        </m:r>
        <m:r>
          <m:t>x</m:t>
        </m:r>
        <m:r>
          <m:t>p</m:t>
        </m:r>
        <m:r>
          <m:t>l</m:t>
        </m:r>
        <m:r>
          <m:t>i</m:t>
        </m:r>
        <m:r>
          <m:t>c</m:t>
        </m:r>
        <m:r>
          <m:t>i</m:t>
        </m:r>
        <m:r>
          <m:t>t</m:t>
        </m:r>
        <m:r>
          <m:t>l</m:t>
        </m:r>
        <m:r>
          <m:t>y</m:t>
        </m:r>
        <m:r>
          <m:t>s</m:t>
        </m:r>
        <m:r>
          <m:t>a</m:t>
        </m:r>
        <m:r>
          <m:t>i</m:t>
        </m:r>
        <m:r>
          <m:t>d</m:t>
        </m:r>
        <m:r>
          <m:t>v</m:t>
        </m:r>
        <m:r>
          <m:t>a</m:t>
        </m:r>
        <m:r>
          <m:t>l</m:t>
        </m:r>
        <m:r>
          <m:t>u</m:t>
        </m:r>
        <m:r>
          <m:t>e</m:t>
        </m:r>
        <m:r>
          <m:rPr>
            <m:sty m:val="p"/>
          </m:rPr>
          <m:t>−</m:t>
        </m:r>
        <m:r>
          <m:t>c</m:t>
        </m:r>
        <m:r>
          <m:t>r</m:t>
        </m:r>
        <m:r>
          <m:t>e</m:t>
        </m:r>
        <m:r>
          <m:t>a</m:t>
        </m:r>
        <m:r>
          <m:t>t</m:t>
        </m:r>
        <m:r>
          <m:t>i</m:t>
        </m:r>
        <m:r>
          <m:t>o</m:t>
        </m:r>
        <m:r>
          <m:t>n</m:t>
        </m:r>
        <m:r>
          <m:t>b</m:t>
        </m:r>
        <m:r>
          <m:t>e</m:t>
        </m:r>
        <m:r>
          <m:t>n</m:t>
        </m:r>
        <m:r>
          <m:t>e</m:t>
        </m:r>
        <m:r>
          <m:t>f</m:t>
        </m:r>
        <m:r>
          <m:t>i</m:t>
        </m:r>
        <m:r>
          <m:t>t</m:t>
        </m:r>
        <m:r>
          <m:t>s</m:t>
        </m:r>
        <m:r>
          <m:t>s</m:t>
        </m:r>
        <m:r>
          <m:t>h</m:t>
        </m:r>
        <m:r>
          <m:t>o</m:t>
        </m:r>
        <m:r>
          <m:t>u</m:t>
        </m:r>
        <m:r>
          <m:t>l</m:t>
        </m:r>
        <m:r>
          <m:t>d</m:t>
        </m:r>
        <m:r>
          <m:t>b</m:t>
        </m:r>
        <m:r>
          <m:t>e</m:t>
        </m:r>
        <m:r>
          <m:t>m</m:t>
        </m:r>
        <m:r>
          <m:t>o</m:t>
        </m:r>
        <m:r>
          <m:t>r</m:t>
        </m:r>
        <m:r>
          <m:t>e</m:t>
        </m:r>
        <m:r>
          <m:t>h</m:t>
        </m:r>
        <m:r>
          <m:t>e</m:t>
        </m:r>
        <m:r>
          <m:t>a</m:t>
        </m:r>
        <m:r>
          <m:t>v</m:t>
        </m:r>
        <m:r>
          <m:t>i</m:t>
        </m:r>
        <m:r>
          <m:t>l</m:t>
        </m:r>
        <m:r>
          <m:t>y</m:t>
        </m:r>
        <m:r>
          <m:t>w</m:t>
        </m:r>
        <m:r>
          <m:t>e</m:t>
        </m:r>
        <m:r>
          <m:t>i</m:t>
        </m:r>
        <m:r>
          <m:t>g</m:t>
        </m:r>
        <m:r>
          <m:t>h</m:t>
        </m:r>
        <m:r>
          <m:t>t</m:t>
        </m:r>
        <m:r>
          <m:t>e</m:t>
        </m:r>
        <m:r>
          <m:t>d</m:t>
        </m:r>
        <m:r>
          <m:t>t</m:t>
        </m:r>
        <m:r>
          <m:t>o</m:t>
        </m:r>
        <m:r>
          <m:t>H</m:t>
        </m:r>
        <m:r>
          <m:t>2</m:t>
        </m:r>
        <m:r>
          <m:rPr>
            <m:sty m:val="p"/>
          </m:rPr>
          <m:t>,</m:t>
        </m:r>
        <m:r>
          <m:t>t</m:t>
        </m:r>
        <m:r>
          <m:t>a</m:t>
        </m:r>
        <m:r>
          <m:t>r</m:t>
        </m:r>
        <m:r>
          <m:t>g</m:t>
        </m:r>
        <m:r>
          <m:t>e</m:t>
        </m:r>
        <m:r>
          <m:t>t</m:t>
        </m:r>
        <m:r>
          <m:t>i</m:t>
        </m:r>
        <m:r>
          <m:t>n</m:t>
        </m:r>
        <m:r>
          <m:t>g</m:t>
        </m:r>
        <m:r>
          <m:t>a</m:t>
        </m:r>
        <m:r>
          <m:rPr>
            <m:sty m:val="p"/>
          </m:rPr>
          <m:t>*</m:t>
        </m:r>
        <m:r>
          <m:rPr>
            <m:sty m:val="p"/>
          </m:rPr>
          <m:t>*</m:t>
        </m:r>
      </m:oMath>
      <w:r>
        <w:t xml:space="preserve">125 million annualized run rate by year-end 2026** and more than</w:t>
      </w:r>
      <w:r>
        <w:t xml:space="preserve"> </w:t>
      </w:r>
      <w:r>
        <w:rPr>
          <w:b/>
          <w:bCs/>
        </w:rPr>
        <w:t xml:space="preserve">$200 million</w:t>
      </w:r>
      <w:r>
        <w:t xml:space="preserve"> </w:t>
      </w:r>
      <w:r>
        <w:t xml:space="preserve">of annual operating-income improvement over the next few years. (</w:t>
      </w:r>
      <w:hyperlink r:id="rId10">
        <w:r>
          <w:rPr>
            <w:rStyle w:val="Hyperlink"/>
          </w:rPr>
          <w:t xml:space="preserve">investor.henryschein.com</w:t>
        </w:r>
      </w:hyperlink>
      <w:r>
        <w:t xml:space="preserve">)</w:t>
      </w:r>
    </w:p>
    <w:p>
      <w:pPr>
        <w:pStyle w:val="BodyText"/>
      </w:pPr>
      <w:r>
        <w:t xml:space="preserve">Accordingly, an unchanged guide alone may not be enough for a strong reaction if Q2 earnings are merely in line. The market will likely care more about whether management can quantify:</w:t>
      </w:r>
    </w:p>
    <w:p>
      <w:pPr>
        <w:pStyle w:val="Compact"/>
        <w:numPr>
          <w:ilvl w:val="0"/>
          <w:numId w:val="1007"/>
        </w:numPr>
      </w:pPr>
      <w:r>
        <w:t xml:space="preserve">savings realized year to date;</w:t>
      </w:r>
    </w:p>
    <w:p>
      <w:pPr>
        <w:pStyle w:val="Compact"/>
        <w:numPr>
          <w:ilvl w:val="0"/>
          <w:numId w:val="1007"/>
        </w:numPr>
      </w:pPr>
      <w:r>
        <w:t xml:space="preserve">savings exiting Q2;</w:t>
      </w:r>
    </w:p>
    <w:p>
      <w:pPr>
        <w:pStyle w:val="Compact"/>
        <w:numPr>
          <w:ilvl w:val="0"/>
          <w:numId w:val="1007"/>
        </w:numPr>
      </w:pPr>
      <w:r>
        <w:t xml:space="preserve">expected H2 incremental benefit;</w:t>
      </w:r>
    </w:p>
    <w:p>
      <w:pPr>
        <w:pStyle w:val="Compact"/>
        <w:numPr>
          <w:ilvl w:val="0"/>
          <w:numId w:val="1007"/>
        </w:numPr>
      </w:pPr>
      <w:r>
        <w:t xml:space="preserve">gross-margin contribution versus back-office cost reductions; and</w:t>
      </w:r>
    </w:p>
    <w:p>
      <w:pPr>
        <w:pStyle w:val="Compact"/>
        <w:numPr>
          <w:ilvl w:val="0"/>
          <w:numId w:val="1007"/>
        </w:numPr>
      </w:pPr>
      <w:r>
        <w:t xml:space="preserve">remaining implementation costs and restructuring charges.</w:t>
      </w:r>
    </w:p>
    <w:bookmarkEnd w:id="19"/>
    <w:bookmarkStart w:id="20" w:name="Xcf93ecd70cb4ad0b836f8a9c4fc09f60c8c10a3"/>
    <w:p>
      <w:pPr>
        <w:pStyle w:val="Heading2"/>
      </w:pPr>
      <w:r>
        <w:t xml:space="preserve">Leadership changes add an execution overlay</w:t>
      </w:r>
    </w:p>
    <w:p>
      <w:pPr>
        <w:pStyle w:val="FirstParagraph"/>
      </w:pPr>
      <w:r>
        <w:t xml:space="preserve">On July 30, HSIC announced a new leadership structure, including integration of global supply chain with global distribution and the transition of the COO, Chief Strategy Officer, and global supply-chain leader into senior-advisor roles effective at the end of October. The changes are consistent with CEO Fred Lowery’s emphasis on faster decisions, a simpler operating model, and operational accountability.</w:t>
      </w:r>
    </w:p>
    <w:p>
      <w:pPr>
        <w:pStyle w:val="BodyText"/>
      </w:pPr>
      <w:r>
        <w:t xml:space="preserve">This should be viewed as strategically aligned with the value-creation agenda, but it also raises near-term questions around organizational continuity and execution. Investors should listen for details on who owns distribution, supply-chain, procurement, pricing, and transformation milestones under the new structure.</w:t>
      </w:r>
    </w:p>
    <w:bookmarkEnd w:id="20"/>
    <w:bookmarkStart w:id="21" w:name="stock-setup"/>
    <w:p>
      <w:pPr>
        <w:pStyle w:val="Heading2"/>
      </w:pPr>
      <w:r>
        <w:t xml:space="preserve">Stock setup</w:t>
      </w:r>
    </w:p>
    <w:p>
      <w:pPr>
        <w:pStyle w:val="FirstParagraph"/>
      </w:pPr>
      <w:r>
        <w:t xml:space="preserve">HSIC closed at</w:t>
      </w:r>
      <w:r>
        <w:t xml:space="preserve"> </w:t>
      </w:r>
      <w:r>
        <w:rPr>
          <w:b/>
          <w:bCs/>
        </w:rPr>
        <w:t xml:space="preserve">$86.53 on August 3</w:t>
      </w:r>
      <w:r>
        <w:t xml:space="preserve">, up approximately</w:t>
      </w:r>
      <w:r>
        <w:t xml:space="preserve"> </w:t>
      </w:r>
      <w:r>
        <w:rPr>
          <w:b/>
          <w:bCs/>
        </w:rPr>
        <w:t xml:space="preserve">2.4% from July 1</w:t>
      </w:r>
      <w:r>
        <w:t xml:space="preserve">. The stock is also about</w:t>
      </w:r>
      <w:r>
        <w:t xml:space="preserve"> </w:t>
      </w:r>
      <w:r>
        <w:rPr>
          <w:b/>
          <w:bCs/>
        </w:rPr>
        <w:t xml:space="preserve">11.5% above</w:t>
      </w:r>
      <w:r>
        <w:t xml:space="preserve"> </w:t>
      </w:r>
      <w:r>
        <w:t xml:space="preserve">the $77.64 average price at which HSIC repurchased shares in Q1.</w:t>
      </w:r>
    </w:p>
    <w:p>
      <w:pPr>
        <w:pStyle w:val="BodyText"/>
      </w:pPr>
      <w:r>
        <w:t xml:space="preserve">That setup suggests investors are not treating the quarter as a distressed reset. A favorable reaction likely requires validation that Q1’s margin improvement was sustainable and that the H2 savings ramp is tangible; a guide reiteration paired with weak dental, specialty, or margin commentary could be insufficient.</w:t>
      </w:r>
    </w:p>
    <w:bookmarkEnd w:id="21"/>
    <w:bookmarkStart w:id="24" w:name="bottom-line"/>
    <w:p>
      <w:pPr>
        <w:pStyle w:val="Heading2"/>
      </w:pPr>
      <w:r>
        <w:t xml:space="preserve">Bottom line</w:t>
      </w:r>
    </w:p>
    <w:p>
      <w:pPr>
        <w:pStyle w:val="FirstParagraph"/>
      </w:pPr>
      <w:r>
        <w:rPr>
          <w:b/>
          <w:bCs/>
        </w:rPr>
        <w:t xml:space="preserve">The Q2 debate is about proof of execution.</w:t>
      </w:r>
      <w:r>
        <w:t xml:space="preserve"> </w:t>
      </w:r>
      <w:r>
        <w:t xml:space="preserve">HSIC has a credible path to better earnings growth through dental share gains, technology growth, corporate-brand mix, pricing discipline, procurement benefits, and organizational simplification. Q1 established that this framework can work. Q2 needs to show that it is working across a broader set of businesses and is not dependent on favorable mix, FX, or one-time gains.</w:t>
      </w:r>
    </w:p>
    <w:bookmarkStart w:id="22" w:name="what-would-make-the-quarter-bullish"/>
    <w:p>
      <w:pPr>
        <w:pStyle w:val="Heading3"/>
      </w:pPr>
      <w:r>
        <w:t xml:space="preserve">What would make the quarter bullish</w:t>
      </w:r>
    </w:p>
    <w:p>
      <w:pPr>
        <w:pStyle w:val="Compact"/>
        <w:numPr>
          <w:ilvl w:val="0"/>
          <w:numId w:val="1008"/>
        </w:numPr>
      </w:pPr>
      <w:r>
        <w:t xml:space="preserve">Mid-single-digit or better internal dental growth, with healthy equipment demand.</w:t>
      </w:r>
    </w:p>
    <w:p>
      <w:pPr>
        <w:pStyle w:val="Compact"/>
        <w:numPr>
          <w:ilvl w:val="0"/>
          <w:numId w:val="1008"/>
        </w:numPr>
      </w:pPr>
      <w:r>
        <w:t xml:space="preserve">Continued gross-margin expansion, especially in distribution.</w:t>
      </w:r>
    </w:p>
    <w:p>
      <w:pPr>
        <w:pStyle w:val="Compact"/>
        <w:numPr>
          <w:ilvl w:val="0"/>
          <w:numId w:val="1008"/>
        </w:numPr>
      </w:pPr>
      <w:r>
        <w:t xml:space="preserve">Medical growth improving outside respiratory testing.</w:t>
      </w:r>
    </w:p>
    <w:p>
      <w:pPr>
        <w:pStyle w:val="Compact"/>
        <w:numPr>
          <w:ilvl w:val="0"/>
          <w:numId w:val="1008"/>
        </w:numPr>
      </w:pPr>
      <w:r>
        <w:t xml:space="preserve">Specialty growth reaccelerating, without further material margin degradation.</w:t>
      </w:r>
    </w:p>
    <w:p>
      <w:pPr>
        <w:pStyle w:val="Compact"/>
        <w:numPr>
          <w:ilvl w:val="0"/>
          <w:numId w:val="1008"/>
        </w:numPr>
      </w:pPr>
      <w:r>
        <w:t xml:space="preserve">Clear evidence that savings are building into H2.</w:t>
      </w:r>
    </w:p>
    <w:p>
      <w:pPr>
        <w:pStyle w:val="Compact"/>
        <w:numPr>
          <w:ilvl w:val="0"/>
          <w:numId w:val="1008"/>
        </w:numPr>
      </w:pPr>
      <w:r>
        <w:t xml:space="preserve">Reaffirmed 2026 guidance with confident commentary on the $125 million year-end run-rate target.</w:t>
      </w:r>
    </w:p>
    <w:bookmarkEnd w:id="22"/>
    <w:bookmarkStart w:id="23" w:name="what-would-concern-investors"/>
    <w:p>
      <w:pPr>
        <w:pStyle w:val="Heading3"/>
      </w:pPr>
      <w:r>
        <w:t xml:space="preserve">What would concern investors</w:t>
      </w:r>
    </w:p>
    <w:p>
      <w:pPr>
        <w:pStyle w:val="Compact"/>
        <w:numPr>
          <w:ilvl w:val="0"/>
          <w:numId w:val="1009"/>
        </w:numPr>
      </w:pPr>
      <w:r>
        <w:t xml:space="preserve">Dental growth slowing materially after the Q1 share-gain narrative.</w:t>
      </w:r>
    </w:p>
    <w:p>
      <w:pPr>
        <w:pStyle w:val="Compact"/>
        <w:numPr>
          <w:ilvl w:val="0"/>
          <w:numId w:val="1009"/>
        </w:numPr>
      </w:pPr>
      <w:r>
        <w:t xml:space="preserve">Distribution margin compression from pricing, freight, tariffs, or promotions.</w:t>
      </w:r>
    </w:p>
    <w:p>
      <w:pPr>
        <w:pStyle w:val="Compact"/>
        <w:numPr>
          <w:ilvl w:val="0"/>
          <w:numId w:val="1009"/>
        </w:numPr>
      </w:pPr>
      <w:r>
        <w:t xml:space="preserve">Persistent specialty weakness, particularly in premium implants.</w:t>
      </w:r>
    </w:p>
    <w:p>
      <w:pPr>
        <w:pStyle w:val="Compact"/>
        <w:numPr>
          <w:ilvl w:val="0"/>
          <w:numId w:val="1009"/>
        </w:numPr>
      </w:pPr>
      <w:r>
        <w:t xml:space="preserve">Medical softness extending beyond diagnostics.</w:t>
      </w:r>
    </w:p>
    <w:p>
      <w:pPr>
        <w:pStyle w:val="Compact"/>
        <w:numPr>
          <w:ilvl w:val="0"/>
          <w:numId w:val="1009"/>
        </w:numPr>
      </w:pPr>
      <w:r>
        <w:t xml:space="preserve">Less conviction around the H2 savings cadence, higher transformation costs, or leadership-transition disruption.</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henryschein.com/financials/quarterly-results/default.aspx?utm_source=openai" TargetMode="External" /><Relationship Type="http://schemas.openxmlformats.org/officeDocument/2006/relationships/hyperlink" Id="rId13" Target="https://investor.henryschein.com/news-releases/news-release-details/2026/Henry-Schein-Reports-First-Quarter-2026-Financial-Results/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henryschein.com/financials/quarterly-results/default.aspx?utm_source=openai" TargetMode="External" /><Relationship Type="http://schemas.openxmlformats.org/officeDocument/2006/relationships/hyperlink" Id="rId13" Target="https://investor.henryschein.com/news-releases/news-release-details/2026/Henry-Schein-Reports-First-Quarter-2026-Financial-Results/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2026-08-04T00:05:33Z</dcterms:created>
  <dcterms:modified xsi:type="dcterms:W3CDTF">2026-08-04T00:05:33Z</dcterms:modified>
</cp:coreProperties>
</file>

<file path=docProps/custom.xml><?xml version="1.0" encoding="utf-8"?>
<Properties xmlns="http://schemas.openxmlformats.org/officeDocument/2006/custom-properties" xmlns:vt="http://schemas.openxmlformats.org/officeDocument/2006/docPropsVTypes"/>
</file>