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HST (Host Hotels &amp; Resorts) before writing the preview. Let me gather recent earnings, filings, and news data.Let me read the most recent earnings materials (2026Q1) and the year-ago Q2 for context.Let me get the stock price trend, recent news, and the year-ago Q2 2025 comparison base.Let me quickly check for any recent HST 8-Ks/news and lodging-sector context to round out the current setup.# Host Hotels &amp; Resorts (HST) — Q2 2026 Earnings Preview</w:t>
      </w:r>
    </w:p>
    <w:p>
      <w:pPr>
        <w:pStyle w:val="BodyText"/>
      </w:pPr>
      <w:r>
        <w:rPr>
          <w:b/>
          <w:bCs/>
        </w:rPr>
        <w:t xml:space="preserve">Report timing:</w:t>
      </w:r>
      <w:r>
        <w:t xml:space="preserve"> </w:t>
      </w:r>
      <w:r>
        <w:t xml:space="preserve">After market close, Wednesday Aug 5, 2026 (earnings call the following morning) ·</w:t>
      </w:r>
      <w:r>
        <w:t xml:space="preserve"> </w:t>
      </w:r>
      <w:r>
        <w:rPr>
          <w:b/>
          <w:bCs/>
        </w:rPr>
        <w:t xml:space="preserve">Ticker:</w:t>
      </w:r>
      <w:r>
        <w:t xml:space="preserve"> </w:t>
      </w:r>
      <w:r>
        <w:t xml:space="preserve">HST (Nasdaq) ·</w:t>
      </w:r>
      <w:r>
        <w:t xml:space="preserve"> </w:t>
      </w:r>
      <w:r>
        <w:rPr>
          <w:b/>
          <w:bCs/>
        </w:rPr>
        <w:t xml:space="preserve">Sector:</w:t>
      </w:r>
      <w:r>
        <w:t xml:space="preserve"> </w:t>
      </w:r>
      <w:r>
        <w:t xml:space="preserve">Lodging REIT (largest U.S. lodging REIT, ~76 owned hotels / ~41,700 rooms, luxury &amp; upper-upscale)</w:t>
      </w:r>
    </w:p>
    <w:p>
      <w:r>
        <w:pict>
          <v:rect style="width:0;height:1.5pt" o:hralign="center" o:hrstd="t" o:hr="t"/>
        </w:pict>
      </w:r>
    </w:p>
    <w:bookmarkStart w:id="9" w:name="the-setup-strong-stock-into-a-high-bar"/>
    <w:p>
      <w:pPr>
        <w:pStyle w:val="Heading2"/>
      </w:pPr>
      <w:r>
        <w:t xml:space="preserve">The setup: strong stock into a high bar</w:t>
      </w:r>
    </w:p>
    <w:p>
      <w:pPr>
        <w:pStyle w:val="FirstParagraph"/>
      </w:pPr>
      <w:r>
        <w:t xml:space="preserve">HST goes into this print near 52-week highs. The stock closed at **</w:t>
      </w:r>
      <m:oMath>
        <m:r>
          <m:t>25.00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+</m:t>
        </m:r>
        <m:r>
          <m:t>38</m:t>
        </m:r>
      </m:oMath>
      <w:r>
        <w:t xml:space="preserve">18.16 to start 2026) and has meaningfully outpaced the broad market — HST has gained 46.6% over the past 52 weeks, outpacing the S&amp;P 500 Index's 20.3% return. Much of that move came from a spring/summer melt-up (the shares ran from ~</w:t>
      </w:r>
      <m:oMath>
        <m:r>
          <m:t>19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t>t</m:t>
        </m:r>
        <m:r>
          <m:t>o</m:t>
        </m:r>
        <m:r>
          <m:t> </m:t>
        </m:r>
      </m:oMath>
      <w:r>
        <w:t xml:space="preserve">25.50 by late July), so expectations are elevated and the risk/reward is less asymmetric than earlier in the year.</w:t>
      </w:r>
    </w:p>
    <w:p>
      <w:pPr>
        <w:pStyle w:val="BodyText"/>
      </w:pPr>
      <w:r>
        <w:t xml:space="preserve">Importantly,</w:t>
      </w:r>
      <w:r>
        <w:t xml:space="preserve"> </w:t>
      </w:r>
      <w:r>
        <w:rPr>
          <w:b/>
          <w:bCs/>
        </w:rPr>
        <w:t xml:space="preserve">management has raised full-year guidance in each of the last several quarters</w:t>
      </w:r>
      <w:r>
        <w:t xml:space="preserve">, and the company has surpassed Wall Street's bottom-line estimates in each of the last four quarters. That track record cuts both ways: another beat-and-raise may already be partly priced in, so the bar for a positive reaction is higher.</w:t>
      </w:r>
    </w:p>
    <w:bookmarkEnd w:id="9"/>
    <w:bookmarkStart w:id="10" w:name="what-the-street-is-looking-for-q2-2026"/>
    <w:p>
      <w:pPr>
        <w:pStyle w:val="Heading2"/>
      </w:pPr>
      <w:r>
        <w:t xml:space="preserve">What the Street is looking for (Q2 2026)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Consensus / Expectation</w:t>
            </w:r>
          </w:p>
        </w:tc>
        <w:tc>
          <w:tcPr/>
          <w:p>
            <w:pPr>
              <w:pStyle w:val="Compact"/>
            </w:pPr>
            <w:r>
              <w:t xml:space="preserve">Year-ago (Q2 2025 actual)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FFO per share</w:t>
            </w:r>
          </w:p>
        </w:tc>
        <w:tc>
          <w:tcPr/>
          <w:p>
            <w:pPr>
              <w:pStyle w:val="Compact"/>
            </w:pPr>
            <w:r>
              <w:t xml:space="preserve">~$0.62 (+~7% YoY)</w:t>
            </w:r>
          </w:p>
        </w:tc>
        <w:tc>
          <w:tcPr/>
          <w:p>
            <w:pPr>
              <w:pStyle w:val="Compact"/>
            </w:pPr>
            <w:r>
              <w:t xml:space="preserve">$0.58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 (GAAP)</w:t>
            </w:r>
          </w:p>
        </w:tc>
        <w:tc>
          <w:tcPr/>
          <w:p>
            <w:pPr>
              <w:pStyle w:val="Compact"/>
            </w:pPr>
            <w:r>
              <w:t xml:space="preserve">~$0.34</w:t>
            </w:r>
          </w:p>
        </w:tc>
        <w:tc>
          <w:tcPr/>
          <w:p>
            <w:pPr>
              <w:pStyle w:val="Compact"/>
            </w:pPr>
            <w:r>
              <w:t xml:space="preserve">$0.32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~$1.62B</w:t>
            </w:r>
          </w:p>
        </w:tc>
        <w:tc>
          <w:tcPr/>
          <w:p>
            <w:pPr>
              <w:pStyle w:val="Compact"/>
            </w:pPr>
            <w:r>
              <w:t xml:space="preserve">$1.59B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Avg. occupancy</w:t>
            </w:r>
          </w:p>
        </w:tc>
        <w:tc>
          <w:tcPr/>
          <w:p>
            <w:pPr>
              <w:pStyle w:val="Compact"/>
            </w:pPr>
            <w:r>
              <w:t xml:space="preserve">~72.1%</w:t>
            </w:r>
          </w:p>
        </w:tc>
        <w:tc>
          <w:tcPr/>
          <w:p>
            <w:pPr>
              <w:pStyle w:val="Compact"/>
            </w:pPr>
            <w:r>
              <w:t xml:space="preserve">73.8%</w:t>
            </w:r>
          </w:p>
        </w:tc>
      </w:tr>
    </w:tbl>
    <w:p>
      <w:pPr>
        <w:pStyle w:val="BodyText"/>
      </w:pPr>
      <w:r>
        <w:t xml:space="preserve">Analysts expect HST to report FFO of $0.62 per share, up 6.9% from $0.58 per share in the year-ago quarter, and the company has surpassed Wall Street's bottom-line estimates in each of the last four quarters. Note the occupancy estimate sits</w:t>
      </w:r>
      <w:r>
        <w:t xml:space="preserve"> </w:t>
      </w:r>
      <w:r>
        <w:rPr>
          <w:i/>
          <w:iCs/>
        </w:rPr>
        <w:t xml:space="preserve">below</w:t>
      </w:r>
      <w:r>
        <w:t xml:space="preserve"> </w:t>
      </w:r>
      <w:r>
        <w:t xml:space="preserve">last year — the consensus mark for the average occupancy rate in the second quarter is pegged at 72.09%, implying a decrease from the prior-year quarter's reported figure of 73.80% — consistent with a rate-led (not occupancy-led) growth story and with 2026 portfolio dispositions.</w:t>
      </w:r>
    </w:p>
    <w:p>
      <w:pPr>
        <w:pStyle w:val="BodyText"/>
      </w:pPr>
      <w:r>
        <w:rPr>
          <w:b/>
          <w:bCs/>
        </w:rPr>
        <w:t xml:space="preserve">Management's own signposts from the Q1 call frame the quarter:</w:t>
      </w:r>
      <w:r>
        <w:t xml:space="preserve"> </w:t>
      </w:r>
      <w:r>
        <w:t xml:space="preserve">Host guided Q2 comparable RevPAR growth to be "similar to" Q1 (i.e., ~4.4%), with April already tracking ~4.4%. This makes Q2 the peak growth quarter of the year, boosted by the World Cup, before growth decelerates to low-single-digits in 2H.</w:t>
      </w:r>
    </w:p>
    <w:p>
      <w:r>
        <w:pict>
          <v:rect style="width:0;height:1.5pt" o:hralign="center" o:hrstd="t" o:hr="t"/>
        </w:pict>
      </w:r>
    </w:p>
    <w:bookmarkEnd w:id="10"/>
    <w:bookmarkStart w:id="16" w:name="X968131667ec995e8aa45315b703bf3d1bfd2716"/>
    <w:p>
      <w:pPr>
        <w:pStyle w:val="Heading2"/>
      </w:pPr>
      <w:r>
        <w:t xml:space="preserve">The five things that will actually move the stock</w:t>
      </w:r>
    </w:p>
    <w:bookmarkStart w:id="11" w:name="X02646e7d532e64f115c8803b31b7a799fa61882"/>
    <w:p>
      <w:pPr>
        <w:pStyle w:val="Heading3"/>
      </w:pPr>
      <w:r>
        <w:t xml:space="preserve">1. FIFA World Cup — the swing factor (and the key debate)</w:t>
      </w:r>
    </w:p>
    <w:p>
      <w:pPr>
        <w:pStyle w:val="FirstParagraph"/>
      </w:pPr>
      <w:r>
        <w:t xml:space="preserve">This is the marquee variable. On the Q1 call, management said ~two-thirds of the expected</w:t>
      </w:r>
      <w:r>
        <w:t xml:space="preserve"> </w:t>
      </w:r>
      <w:r>
        <w:rPr>
          <w:b/>
          <w:bCs/>
        </w:rPr>
        <w:t xml:space="preserve">60 bps gross full-year RevPAR benefit</w:t>
      </w:r>
      <w:r>
        <w:t xml:space="preserve"> </w:t>
      </w:r>
      <w:r>
        <w:t xml:space="preserve">from the World Cup should land in Q2, with the remainder in Q3. Key nuances investors should press on:</w:t>
      </w:r>
    </w:p>
    <w:p>
      <w:pPr>
        <w:pStyle w:val="Compact"/>
        <w:numPr>
          <w:ilvl w:val="0"/>
          <w:numId w:val="1001"/>
        </w:numPr>
      </w:pPr>
      <w:r>
        <w:t xml:space="preserve">Host has matches across ~10 of its markets, led by</w:t>
      </w:r>
      <w:r>
        <w:t xml:space="preserve"> </w:t>
      </w:r>
      <w:r>
        <w:rPr>
          <w:b/>
          <w:bCs/>
        </w:rPr>
        <w:t xml:space="preserve">New York and Miami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The demand is</w:t>
      </w:r>
      <w:r>
        <w:t xml:space="preserve"> </w:t>
      </w:r>
      <w:r>
        <w:rPr>
          <w:b/>
          <w:bCs/>
        </w:rPr>
        <w:t xml:space="preserve">transient-led, not group-led</w:t>
      </w:r>
      <w:r>
        <w:t xml:space="preserve">, and builds late — management flagged that ~40% of World Cup occupancy typically books in the</w:t>
      </w:r>
      <w:r>
        <w:t xml:space="preserve"> </w:t>
      </w:r>
      <w:r>
        <w:rPr>
          <w:i/>
          <w:iCs/>
        </w:rPr>
        <w:t xml:space="preserve">final week</w:t>
      </w:r>
      <w:r>
        <w:t xml:space="preserve"> </w:t>
      </w:r>
      <w:r>
        <w:t xml:space="preserve">before matches, so Q2 actuals will reveal how much genuinely materialized vs. hype.</w:t>
      </w:r>
    </w:p>
    <w:p>
      <w:pPr>
        <w:pStyle w:val="Compact"/>
        <w:numPr>
          <w:ilvl w:val="0"/>
          <w:numId w:val="1001"/>
        </w:numPr>
      </w:pPr>
      <w:r>
        <w:t xml:space="preserve">Early reads were encouraging: transient revenue pace in World Cup markets was running</w:t>
      </w:r>
      <w:r>
        <w:t xml:space="preserve"> </w:t>
      </w:r>
      <w:r>
        <w:rPr>
          <w:b/>
          <w:bCs/>
        </w:rPr>
        <w:t xml:space="preserve">up ~40% YoY</w:t>
      </w:r>
      <w:r>
        <w:t xml:space="preserve">, and July 4 weekend pace was up nearly 50% (though management cautioned that number would actualize lower).</w:t>
      </w:r>
    </w:p>
    <w:p>
      <w:pPr>
        <w:pStyle w:val="FirstParagraph"/>
      </w:pPr>
      <w:r>
        <w:rPr>
          <w:b/>
          <w:bCs/>
        </w:rPr>
        <w:t xml:space="preserve">Watch:</w:t>
      </w:r>
      <w:r>
        <w:t xml:space="preserve"> </w:t>
      </w:r>
      <w:r>
        <w:t xml:space="preserve">Did the World Cup convert into rate/occupancy as hoped, and does management sound more or less confident on the remaining Q3 benefit and knockout-round upside?</w:t>
      </w:r>
    </w:p>
    <w:bookmarkEnd w:id="11"/>
    <w:bookmarkStart w:id="12" w:name="X903c199140c48b718496d3dfa9c7269d9353ea7"/>
    <w:p>
      <w:pPr>
        <w:pStyle w:val="Heading3"/>
      </w:pPr>
      <w:r>
        <w:t xml:space="preserve">2. Will they raise full-year guidance again?</w:t>
      </w:r>
    </w:p>
    <w:p>
      <w:pPr>
        <w:pStyle w:val="FirstParagraph"/>
      </w:pPr>
      <w:r>
        <w:t xml:space="preserve">Current FY26 guidance (raised at Q1):</w:t>
      </w:r>
      <w:r>
        <w:t xml:space="preserve"> </w:t>
      </w:r>
      <w:r>
        <w:rPr>
          <w:b/>
          <w:bCs/>
        </w:rPr>
        <w:t xml:space="preserve">comparable RevPAR +3.0% to +4.5%</w:t>
      </w:r>
      <w:r>
        <w:t xml:space="preserve">, Total RevPAR +3.5% to +5.0%, comparable EBITDA margin +20–50 bps,</w:t>
      </w:r>
      <w:r>
        <w:t xml:space="preserve"> </w:t>
      </w:r>
      <w:r>
        <w:rPr>
          <w:b/>
          <w:bCs/>
        </w:rPr>
        <w:t xml:space="preserve">Adjusted EBITDAre</w:t>
      </w:r>
      <w:r>
        <w:rPr>
          <w:b/>
          <w:bCs/>
        </w:rPr>
        <w:t xml:space="preserve"> </w:t>
      </w:r>
      <m:oMath>
        <m:r>
          <m:t>1</m:t>
        </m:r>
        <m:r>
          <m:rPr>
            <m:sty m:val="p"/>
          </m:rPr>
          <m:t>,</m:t>
        </m:r>
        <m:r>
          <m:t>785</m:t>
        </m:r>
        <m:r>
          <m:t>M</m:t>
        </m:r>
        <m:r>
          <m:rPr>
            <m:sty m:val="p"/>
          </m:rPr>
          <m:t>–</m:t>
        </m:r>
      </m:oMath>
      <w:r>
        <w:rPr>
          <w:b/>
          <w:bCs/>
        </w:rPr>
        <w:t xml:space="preserve">1,835M</w:t>
      </w:r>
      <w:r>
        <w:t xml:space="preserve"> </w:t>
      </w:r>
      <w:r>
        <w:t xml:space="preserve">(midpoint ~$1,810M) and</w:t>
      </w:r>
      <w:r>
        <w:t xml:space="preserve"> </w:t>
      </w:r>
      <w:r>
        <w:rPr>
          <w:b/>
          <w:bCs/>
        </w:rPr>
        <w:t xml:space="preserve">Adjusted FFO/share</w:t>
      </w:r>
      <w:r>
        <w:rPr>
          <w:b/>
          <w:bCs/>
        </w:rPr>
        <w:t xml:space="preserve"> </w:t>
      </w:r>
      <m:oMath>
        <m:r>
          <m:t>2.10</m:t>
        </m:r>
        <m:r>
          <m:rPr>
            <m:sty m:val="p"/>
          </m:rPr>
          <m:t>–</m:t>
        </m:r>
      </m:oMath>
      <w:r>
        <w:rPr>
          <w:b/>
          <w:bCs/>
        </w:rPr>
        <w:t xml:space="preserve">2.16</w:t>
      </w:r>
      <w:r>
        <w:t xml:space="preserve">. Street FY FFO sits around</w:t>
      </w:r>
      <w:r>
        <w:t xml:space="preserve"> </w:t>
      </w:r>
      <w:r>
        <w:rPr>
          <w:b/>
          <w:bCs/>
        </w:rPr>
        <w:t xml:space="preserve">$2.13</w:t>
      </w:r>
      <w:r>
        <w:t xml:space="preserve">, right at the midpoint. Given the beat-and-raise cadence and a strong Q1 + Q2 first half, another modest raise is plausible — but the 2H is deliberately conservative (low-single-digit RevPAR, ~1 pt lower rate growth). A raise concentrated in the</w:t>
      </w:r>
      <w:r>
        <w:t xml:space="preserve"> </w:t>
      </w:r>
      <w:r>
        <w:rPr>
          <w:i/>
          <w:iCs/>
        </w:rPr>
        <w:t xml:space="preserve">first half</w:t>
      </w:r>
      <w:r>
        <w:t xml:space="preserve"> </w:t>
      </w:r>
      <w:r>
        <w:t xml:space="preserve">with an unchanged 2H would be a "quality of raise" debate.</w:t>
      </w:r>
    </w:p>
    <w:bookmarkEnd w:id="12"/>
    <w:bookmarkStart w:id="13" w:name="X78b473bf7fb16efd99304941e2e1e9a224f0c5d"/>
    <w:p>
      <w:pPr>
        <w:pStyle w:val="Heading3"/>
      </w:pPr>
      <w:r>
        <w:t xml:space="preserve">3. Maui recovery trajectory</w:t>
      </w:r>
    </w:p>
    <w:p>
      <w:pPr>
        <w:pStyle w:val="FirstParagraph"/>
      </w:pPr>
      <w:r>
        <w:t xml:space="preserve">Host is holding to</w:t>
      </w:r>
      <w:r>
        <w:t xml:space="preserve"> </w:t>
      </w:r>
      <w:r>
        <w:rPr>
          <w:b/>
          <w:bCs/>
        </w:rPr>
        <w:t xml:space="preserve">~$120M of 2026 EBITDA from Maui</w:t>
      </w:r>
      <w:r>
        <w:t xml:space="preserve">, which requires roughly</w:t>
      </w:r>
      <w:r>
        <w:t xml:space="preserve"> </w:t>
      </w:r>
      <w:r>
        <w:rPr>
          <w:b/>
          <w:bCs/>
        </w:rPr>
        <w:t xml:space="preserve">~9% full-year RevPAR growth</w:t>
      </w:r>
      <w:r>
        <w:t xml:space="preserve"> </w:t>
      </w:r>
      <w:r>
        <w:t xml:space="preserve">there. Q1 Maui RevPAR was only +1.5% due to the March Kona Low rainstorm, so the path is back-half weighted (Q4 group pace ~20%). Watch for rebooking traction, airlift/seat availability commentary, and any update on</w:t>
      </w:r>
      <w:r>
        <w:t xml:space="preserve"> </w:t>
      </w:r>
      <w:r>
        <w:rPr>
          <w:b/>
          <w:bCs/>
        </w:rPr>
        <w:t xml:space="preserve">Kona Low business-interruption insurance proceeds</w:t>
      </w:r>
      <w:r>
        <w:t xml:space="preserve"> </w:t>
      </w:r>
      <w:r>
        <w:t xml:space="preserve">(timing/amount still undetermined; property damage est. $25–35M, largely insured).</w:t>
      </w:r>
    </w:p>
    <w:bookmarkEnd w:id="13"/>
    <w:bookmarkStart w:id="14" w:name="X90da65c7931b9afc9e02fa1bbb11356f9f6b5c0"/>
    <w:p>
      <w:pPr>
        <w:pStyle w:val="Heading3"/>
      </w:pPr>
      <w:r>
        <w:t xml:space="preserve">4. San Francisco and business-transient momentum</w:t>
      </w:r>
    </w:p>
    <w:p>
      <w:pPr>
        <w:pStyle w:val="FirstParagraph"/>
      </w:pPr>
      <w:r>
        <w:t xml:space="preserve">San Francisco was the standout in Q1 (+26% RevPAR, +70% EBITDA, aided by the Super Bowl). The bull case is a durable, AI-driven office/citywide recovery ("boom loop"). With the Super Bowl comp gone in Q2, investors will want to see the</w:t>
      </w:r>
      <w:r>
        <w:t xml:space="preserve"> </w:t>
      </w:r>
      <w:r>
        <w:rPr>
          <w:i/>
          <w:iCs/>
        </w:rPr>
        <w:t xml:space="preserve">underlying</w:t>
      </w:r>
      <w:r>
        <w:t xml:space="preserve"> </w:t>
      </w:r>
      <w:r>
        <w:t xml:space="preserve">recovery still accelerating. Also watch</w:t>
      </w:r>
      <w:r>
        <w:t xml:space="preserve"> </w:t>
      </w:r>
      <w:r>
        <w:rPr>
          <w:b/>
          <w:bCs/>
        </w:rPr>
        <w:t xml:space="preserve">business transient</w:t>
      </w:r>
      <w:r>
        <w:t xml:space="preserve"> </w:t>
      </w:r>
      <w:r>
        <w:t xml:space="preserve">— Q1 showed a mix shift from government to corporate (consulting, tech, financial services) with government volume stabilizing.</w:t>
      </w:r>
    </w:p>
    <w:bookmarkEnd w:id="14"/>
    <w:bookmarkStart w:id="15" w:name="X9e1bb3c02d3f7d4b2e0732ca6b3f05539862e97"/>
    <w:p>
      <w:pPr>
        <w:pStyle w:val="Heading3"/>
      </w:pPr>
      <w:r>
        <w:t xml:space="preserve">5. Margins and cost trajectory</w:t>
      </w:r>
    </w:p>
    <w:p>
      <w:pPr>
        <w:pStyle w:val="FirstParagraph"/>
      </w:pPr>
      <w:r>
        <w:t xml:space="preserve">Q1 comparable hotel EBITDA margin was</w:t>
      </w:r>
      <w:r>
        <w:t xml:space="preserve"> </w:t>
      </w:r>
      <w:r>
        <w:rPr>
          <w:b/>
          <w:bCs/>
        </w:rPr>
        <w:t xml:space="preserve">32.7% (+70 bps)</w:t>
      </w:r>
      <w:r>
        <w:t xml:space="preserve">, but management explicitly warned margin comps</w:t>
      </w:r>
      <w:r>
        <w:t xml:space="preserve"> </w:t>
      </w:r>
      <w:r>
        <w:rPr>
          <w:b/>
          <w:bCs/>
        </w:rPr>
        <w:t xml:space="preserve">moderate through the year</w:t>
      </w:r>
      <w:r>
        <w:t xml:space="preserve"> </w:t>
      </w:r>
      <w:r>
        <w:t xml:space="preserve">on lower 2H rate growth. Wage rates are still running ~+5% (labor is ~50% of hotel opex), offset by productivity gains (absolute wage/benefit growth was only +4.5% in Q1). Q2 last year's comparable margin was</w:t>
      </w:r>
      <w:r>
        <w:t xml:space="preserve"> </w:t>
      </w:r>
      <w:r>
        <w:rPr>
          <w:b/>
          <w:bCs/>
        </w:rPr>
        <w:t xml:space="preserve">31.0%</w:t>
      </w:r>
      <w:r>
        <w:t xml:space="preserve"> </w:t>
      </w:r>
      <w:r>
        <w:t xml:space="preserve">— the YoY comparison is cleaner now that the 2024 Maui business-interruption benefit has annualized out.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Xe3eab064f6ecb90d81e6d59ad7c179e0f7d985e"/>
    <w:p>
      <w:pPr>
        <w:pStyle w:val="Heading2"/>
      </w:pPr>
      <w:r>
        <w:t xml:space="preserve">Capital allocation — a differentiated angle to watch</w:t>
      </w:r>
    </w:p>
    <w:p>
      <w:pPr>
        <w:pStyle w:val="FirstParagraph"/>
      </w:pPr>
      <w:r>
        <w:t xml:space="preserve">Host's balance sheet and capital return are core to the thesis, and there's fresh dry powder: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~$500M of remaining Four Seasons sale proceeds</w:t>
      </w:r>
      <w:r>
        <w:t xml:space="preserve"> </w:t>
      </w:r>
      <w:r>
        <w:t xml:space="preserve">are unallocated. Uses could include buybacks, reinvestment, acquisitions, or another special dividend. Management said an additional special dividend would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be deterred by tax considerations if it created shareholder value.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Buyback:</w:t>
      </w:r>
      <w:r>
        <w:t xml:space="preserve"> </w:t>
      </w:r>
      <w:r>
        <w:t xml:space="preserve">repurchased 4.0M shares at</w:t>
      </w:r>
      <w:r>
        <w:t xml:space="preserve"> </w:t>
      </w:r>
      <m:oMath>
        <m:r>
          <m:t>18.97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;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405M of authorization remained** at 3/31. With the stock now ~$25, watch whether repurchase pace slowed (management is price-disciplined).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Special dividend:</w:t>
      </w:r>
      <w:r>
        <w:t xml:space="preserve"> </w:t>
      </w:r>
      <w:r>
        <w:t xml:space="preserve">a **</w:t>
      </w:r>
      <m:oMath>
        <m:r>
          <m:t>0.72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d</m:t>
        </m:r>
        <m:r>
          <m:t>i</m:t>
        </m:r>
        <m:r>
          <m:t>s</m:t>
        </m:r>
        <m:r>
          <m:t>t</m:t>
        </m:r>
        <m:r>
          <m:t>r</m:t>
        </m:r>
        <m:r>
          <m:t>i</m:t>
        </m:r>
        <m:r>
          <m:t>b</m:t>
        </m:r>
        <m:r>
          <m:t>u</m:t>
        </m:r>
        <m:r>
          <m:t>t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500M Four Seasons gain) plus the regular</w:t>
      </w:r>
      <w:r>
        <w:t xml:space="preserve"> </w:t>
      </w:r>
      <w:r>
        <w:rPr>
          <w:b/>
          <w:bCs/>
        </w:rPr>
        <w:t xml:space="preserve">$0.20</w:t>
      </w:r>
      <w:r>
        <w:t xml:space="preserve"> </w:t>
      </w:r>
      <w:r>
        <w:t xml:space="preserve">was paid July 15; leverage remains a low</w:t>
      </w:r>
      <w:r>
        <w:t xml:space="preserve"> </w:t>
      </w:r>
      <w:r>
        <w:rPr>
          <w:b/>
          <w:bCs/>
        </w:rPr>
        <w:t xml:space="preserve">~2.5x</w:t>
      </w:r>
      <w:r>
        <w:t xml:space="preserve"> </w:t>
      </w:r>
      <w:r>
        <w:t xml:space="preserve">even after payment.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Dispositions:</w:t>
      </w:r>
      <w:r>
        <w:t xml:space="preserve"> </w:t>
      </w:r>
      <w:r>
        <w:rPr>
          <w:b/>
          <w:bCs/>
        </w:rPr>
        <w:t xml:space="preserve">Sheraton Parsippany</w:t>
      </w:r>
      <w:r>
        <w:t xml:space="preserve"> </w:t>
      </w:r>
      <w:r>
        <w:t xml:space="preserve">was held-for-sale and is assumed to sell during 2026 — watch for a completed sale. Management continues to signal it is a willing seller "up and down the portfolio" while finding the acquisition bar too high ("pricing guide is pretty high").</w:t>
      </w:r>
    </w:p>
    <w:p>
      <w:pPr>
        <w:pStyle w:val="Compact"/>
        <w:numPr>
          <w:ilvl w:val="0"/>
          <w:numId w:val="1002"/>
        </w:numPr>
      </w:pPr>
      <w:r>
        <w:t xml:space="preserve">Ongoing</w:t>
      </w:r>
      <w:r>
        <w:t xml:space="preserve"> </w:t>
      </w:r>
      <w:r>
        <w:rPr>
          <w:b/>
          <w:bCs/>
        </w:rPr>
        <w:t xml:space="preserve">transformational capital programs</w:t>
      </w:r>
      <w:r>
        <w:t xml:space="preserve"> </w:t>
      </w:r>
      <w:r>
        <w:t xml:space="preserve">(Hyatt &gt;80% complete; second Marriott program ~25% complete) — properties that have undergone these renovations are expected to contribute ~60% of 2026 EBITDA, with ~9-point RevPAR index share gains on stabilized assets.</w:t>
      </w:r>
    </w:p>
    <w:p>
      <w:r>
        <w:pict>
          <v:rect style="width:0;height:1.5pt" o:hralign="center" o:hrstd="t" o:hr="t"/>
        </w:pict>
      </w:r>
    </w:p>
    <w:bookmarkEnd w:id="17"/>
    <w:bookmarkStart w:id="18" w:name="year-ago-comparison-base-q2-2025"/>
    <w:p>
      <w:pPr>
        <w:pStyle w:val="Heading2"/>
      </w:pPr>
      <w:r>
        <w:t xml:space="preserve">Year-ago comparison base (Q2 2025)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Comparable RevPAR</w:t>
            </w:r>
          </w:p>
        </w:tc>
        <w:tc>
          <w:tcPr/>
          <w:p>
            <w:pPr>
              <w:pStyle w:val="Compact"/>
            </w:pPr>
            <w:r>
              <w:t xml:space="preserve">$239.64 (+3.0%)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Comparable Total RevPAR</w:t>
            </w:r>
          </w:p>
        </w:tc>
        <w:tc>
          <w:tcPr/>
          <w:p>
            <w:pPr>
              <w:pStyle w:val="Compact"/>
            </w:pPr>
            <w:r>
              <w:t xml:space="preserve">$400.91 (+4.2%)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Comparable hotel EBITDA margin</w:t>
            </w:r>
          </w:p>
        </w:tc>
        <w:tc>
          <w:tcPr/>
          <w:p>
            <w:pPr>
              <w:pStyle w:val="Compact"/>
            </w:pPr>
            <w:r>
              <w:t xml:space="preserve">31.0%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EBITDAre</w:t>
            </w:r>
          </w:p>
        </w:tc>
        <w:tc>
          <w:tcPr/>
          <w:p>
            <w:pPr>
              <w:pStyle w:val="Compact"/>
            </w:pPr>
            <w:r>
              <w:t xml:space="preserve">$496M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FFO / share</w:t>
            </w:r>
          </w:p>
        </w:tc>
        <w:tc>
          <w:tcPr/>
          <w:p>
            <w:pPr>
              <w:pStyle w:val="Compact"/>
            </w:pPr>
            <w:r>
              <w:t xml:space="preserve">$0.58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</w:pPr>
            <w:r>
              <w:t xml:space="preserve">$0.32</w:t>
            </w:r>
          </w:p>
        </w:tc>
      </w:tr>
    </w:tbl>
    <w:p>
      <w:pPr>
        <w:pStyle w:val="BodyText"/>
      </w:pPr>
      <w:r>
        <w:rPr>
          <w:b/>
          <w:bCs/>
        </w:rPr>
        <w:t xml:space="preserve">One modeling caveat:</w:t>
      </w:r>
      <w:r>
        <w:t xml:space="preserve"> </w:t>
      </w:r>
      <w:r>
        <w:t xml:space="preserve">the 2026 comparable set is</w:t>
      </w:r>
      <w:r>
        <w:t xml:space="preserve"> </w:t>
      </w:r>
      <w:r>
        <w:rPr>
          <w:b/>
          <w:bCs/>
        </w:rPr>
        <w:t xml:space="preserve">74 hotels</w:t>
      </w:r>
      <w:r>
        <w:t xml:space="preserve"> </w:t>
      </w:r>
      <w:r>
        <w:t xml:space="preserve">(excludes the Don CeSar and Sheraton Parsippany), and the total portfolio has shrunk via 2025–26 dispositions (Four Seasons Orlando + Jackson Hole, St. Regis Houston, Westin Cincinnati). So reported</w:t>
      </w:r>
      <w:r>
        <w:t xml:space="preserve"> </w:t>
      </w:r>
      <w:r>
        <w:rPr>
          <w:i/>
          <w:iCs/>
        </w:rPr>
        <w:t xml:space="preserve">company-wide</w:t>
      </w:r>
      <w:r>
        <w:t xml:space="preserve"> </w:t>
      </w:r>
      <w:r>
        <w:t xml:space="preserve">EBITDA/FFO growth will look muted versus same-store RevPAR growth — focus on</w:t>
      </w:r>
      <w:r>
        <w:t xml:space="preserve"> </w:t>
      </w:r>
      <w:r>
        <w:rPr>
          <w:b/>
          <w:bCs/>
        </w:rPr>
        <w:t xml:space="preserve">comparable-hotel</w:t>
      </w:r>
      <w:r>
        <w:t xml:space="preserve"> </w:t>
      </w:r>
      <w:r>
        <w:t xml:space="preserve">metrics and margins for the operational read-through.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Host enters Q2 with genuinely favorable fundamentals — resilient high-end/leisure demand, a rate-led growth quarter juiced by the</w:t>
      </w:r>
      <w:r>
        <w:t xml:space="preserve"> </w:t>
      </w:r>
      <w:r>
        <w:rPr>
          <w:b/>
          <w:bCs/>
        </w:rPr>
        <w:t xml:space="preserve">World Cup</w:t>
      </w:r>
      <w:r>
        <w:t xml:space="preserve">, improving San Francisco, and a fortress balance sheet with optionality — but also with a</w:t>
      </w:r>
      <w:r>
        <w:t xml:space="preserve"> </w:t>
      </w:r>
      <w:r>
        <w:rPr>
          <w:b/>
          <w:bCs/>
        </w:rPr>
        <w:t xml:space="preserve">stock at highs, a strong 52-week run, and a beat-and-raise pattern that raises the bar.</w:t>
      </w:r>
      <w:r>
        <w:t xml:space="preserve"> </w:t>
      </w:r>
      <w:r>
        <w:t xml:space="preserve">The most likely outcome is a modest Q2 beat (Street ~</w:t>
      </w:r>
      <m:oMath>
        <m:r>
          <m:t>0.62</m:t>
        </m:r>
        <m:r>
          <m:t>A</m:t>
        </m:r>
        <m:r>
          <m:t>F</m:t>
        </m:r>
        <m:r>
          <m:t>F</m:t>
        </m:r>
        <m:r>
          <m:t>O</m:t>
        </m:r>
        <m:r>
          <m:rPr>
            <m:sty m:val="p"/>
          </m:rPr>
          <m:t>)</m:t>
        </m:r>
        <m:r>
          <m:t>n</m:t>
        </m:r>
        <m:r>
          <m:t>e</m:t>
        </m:r>
        <m:r>
          <m:t>a</m:t>
        </m:r>
        <m:r>
          <m:t>r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sSup>
          <m:e>
            <m:r>
              <m:t>t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 </m:t>
        </m:r>
        <m:r>
          <m:t>4.4</m:t>
        </m:r>
      </m:oMath>
      <w:r>
        <w:t xml:space="preserve">500M may matter more for the stock than the Q2 headline itself.</w:t>
      </w:r>
    </w:p>
    <w:p>
      <w:pPr>
        <w:pStyle w:val="BodyText"/>
      </w:pPr>
      <w:r>
        <w:rPr>
          <w:i/>
          <w:iCs/>
        </w:rPr>
        <w:t xml:space="preserve">Preview based on HST's Q1 2026 results/call, the Q2 2025 comparison base, current share-price data, and consensus/analyst commentary as of Aug 4, 2026. Consensus figures are estimates and subject to revision.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2026-08-05T01:32:36Z</dcterms:created>
  <dcterms:modified xsi:type="dcterms:W3CDTF">2026-08-05T01:32:36Z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