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st-earnings-predictions--2026-08-05"/>
    <w:p>
      <w:pPr>
        <w:pStyle w:val="Heading1"/>
      </w:pPr>
      <w:r>
        <w:t xml:space="preserve">HST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FFO/AFFO per share (Q2)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~$0.67 vs. cons $0.62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Comparable Hotel RevPAR (Q2)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~$250 vs. cons $244.77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~$1.65B vs. cons $1.62B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FFO per share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~$2.15-2.20 (mid $2.17) vs. cons $2.13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Comparable Hotel RevPAR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~3.5%-5.0% (mid ~4.25%) vs. prior guide mid 3.75%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2H2026 RevPAR growth deceleration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~low-single-digit (~2%) vs. cons expectation ~2% deceleration (2H2026)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-0.4% (FADE)</w:t>
            </w:r>
          </w:p>
        </w:tc>
        <w:tc>
          <w:tcPr/>
          <w:p>
            <w:pPr>
              <w:pStyle w:val="Compact"/>
            </w:pPr>
            <w:r>
              <w:t xml:space="preserve">Q2 captures the peak (~two-thirds) of the World Cup RevPAR tailwind, so even a clean beat and modest full-year raise leaves Q3/Q4 comps tougher and rate growth decelerating to low-single digits; analysts likely trim out-quarter RevPAR/AFFO estimates as they roll forward, causing the initial pop to fade as the 'sell-the-news' dynamic (stock already +46% YoY, trading above mean PT) reasserts itself over the following days.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2026-08-05T01:37:20Z</dcterms:created>
  <dcterms:modified xsi:type="dcterms:W3CDTF">2026-08-05T01:37:20Z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