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pull a couple of key facts directly via web search so I can cite them properly.# Host Hotels &amp; Resorts (HST) — Q2 2026 Earnings Preview</w:t>
      </w:r>
    </w:p>
    <w:p>
      <w:pPr>
        <w:pStyle w:val="BodyText"/>
      </w:pPr>
      <w:r>
        <w:rPr>
          <w:b/>
          <w:bCs/>
        </w:rPr>
        <w:t xml:space="preserve">When:</w:t>
      </w:r>
      <w:r>
        <w:t xml:space="preserve"> </w:t>
      </w:r>
      <w:r>
        <w:t xml:space="preserve">Results are due after market close on Wednesday, August 5, 2026, with a conference call the following morning.</w:t>
      </w:r>
    </w:p>
    <w:bookmarkStart w:id="9" w:name="X949bd4f4089bbaccce539b2bd28d75b85935b6a"/>
    <w:p>
      <w:pPr>
        <w:pStyle w:val="Heading2"/>
      </w:pPr>
      <w:r>
        <w:t xml:space="preserve">1. Setup into the print</w:t>
      </w:r>
    </w:p>
    <w:p>
      <w:pPr>
        <w:pStyle w:val="FirstParagraph"/>
      </w:pPr>
      <w:r>
        <w:t xml:space="preserve">HST comes into this report on a hot streak. HST has gained 46.6% over the past 52 weeks, outpacing the S&amp;P 500 Index's 20.3% return and the State Street Real Estate Select Sector SPDR ETF's 8.9% uptick over the same time period. The stock has kept climbing into the print — on July 23, Wells Fargo analyst James Feldman maintained a "Buy" rating on Host Hotels &amp; Resorts and raised his price target to $26 from $25 — and shares currently trade above their mean price target of roughly $25, though the Street-high target of $28 still implies double-digit upside. That means expectations are elevated: this is no longer a "show me" print, it's a "keep proving it" print.</w:t>
      </w:r>
    </w:p>
    <w:p>
      <w:pPr>
        <w:pStyle w:val="BodyText"/>
      </w:pPr>
      <w:r>
        <w:t xml:space="preserve">Sentiment on the sell side is broadly constructive. Recent rating/target actions include Citigroup lifting its price target to $24 with a Buy rating, Stifel setting a $26.25 target, BMO Capital Markets reaffirming an "Outperform" with a $27 target, and Argus setting a $27 price target. Quant models are also leaning bullish: the combination of a positive Earnings ESP and Zacks Rank of 2 (Buy) increases the odds of an AFFO beat, and Host currently has an Earnings ESP of +1.48%.</w:t>
      </w:r>
    </w:p>
    <w:bookmarkEnd w:id="9"/>
    <w:bookmarkStart w:id="10" w:name="X8e918d89595f93f6598355b4a04080882d45991"/>
    <w:p>
      <w:pPr>
        <w:pStyle w:val="Heading2"/>
      </w:pPr>
      <w:r>
        <w:t xml:space="preserve">2. What Wall Street is modeling for Q2</w:t>
      </w:r>
    </w:p>
    <w:p>
      <w:pPr>
        <w:pStyle w:val="FirstParagraph"/>
      </w:pPr>
      <w:r>
        <w:t xml:space="preserve">According to Zacks consensus data:</w:t>
      </w:r>
    </w:p>
    <w:p>
      <w:pPr>
        <w:pStyle w:val="Compact"/>
        <w:numPr>
          <w:ilvl w:val="0"/>
          <w:numId w:val="1001"/>
        </w:numPr>
      </w:pPr>
      <w:r>
        <w:t xml:space="preserve">Quarterly revenue is presently pegged at $1.62 billion, implying growth of 2.2% from the prior-year period's reported figure.</w:t>
      </w:r>
    </w:p>
    <w:p>
      <w:pPr>
        <w:pStyle w:val="Compact"/>
        <w:numPr>
          <w:ilvl w:val="0"/>
          <w:numId w:val="1001"/>
        </w:numPr>
      </w:pPr>
      <w:r>
        <w:t xml:space="preserve">Quarterly RevPAR is pinned at $244.77, indicating an increase from $239.64 reported in the year-ago quarter.</w:t>
      </w:r>
    </w:p>
    <w:p>
      <w:pPr>
        <w:pStyle w:val="Compact"/>
        <w:numPr>
          <w:ilvl w:val="0"/>
          <w:numId w:val="1001"/>
        </w:numPr>
      </w:pPr>
      <w:r>
        <w:t xml:space="preserve">AFFO per share consensus has moved to 62 cents, implying a 6.90% rise from the year-ago reported number.</w:t>
      </w:r>
    </w:p>
    <w:p>
      <w:pPr>
        <w:pStyle w:val="Compact"/>
        <w:numPr>
          <w:ilvl w:val="0"/>
          <w:numId w:val="1001"/>
        </w:numPr>
      </w:pPr>
      <w:r>
        <w:t xml:space="preserve">The consensus mark for average occupancy is 72.09%, actually implying a decrease from the prior-year quarter's 73.80% — i.e., the growth story this quarter is expected to be rate-led, not occupancy-led.</w:t>
      </w:r>
    </w:p>
    <w:p>
      <w:pPr>
        <w:pStyle w:val="Compact"/>
        <w:numPr>
          <w:ilvl w:val="0"/>
          <w:numId w:val="1001"/>
        </w:numPr>
      </w:pPr>
      <w:r>
        <w:t xml:space="preserve">Interest expense is expected to rise roughly 3.8% year over year, a modest drag on the bottom line.</w:t>
      </w:r>
    </w:p>
    <w:p>
      <w:pPr>
        <w:pStyle w:val="Compact"/>
        <w:numPr>
          <w:ilvl w:val="0"/>
          <w:numId w:val="1001"/>
        </w:numPr>
      </w:pPr>
      <w:r>
        <w:t xml:space="preserve">For the full year, analysts expect HST to report FFO of $2.13 per share, up 2.9% from $2.07 per share in fiscal 2025.</w:t>
      </w:r>
    </w:p>
    <w:p>
      <w:pPr>
        <w:pStyle w:val="FirstParagraph"/>
      </w:pPr>
      <w:r>
        <w:t xml:space="preserve">Host has a clean beat record heading in: over the trailing four quarters, Host Hotels' AFFO per share surpassed estimates on all occasions, with the average surprise at 8.66%, and last quarter it reported AFFO per share of 67 cents, surpassing the Zacks Consensus Estimate of 63 cents.</w:t>
      </w:r>
    </w:p>
    <w:bookmarkEnd w:id="10"/>
    <w:bookmarkStart w:id="11" w:name="Xcb028db3b81ee5e4c8df6b55b6977f1a562cb5f"/>
    <w:p>
      <w:pPr>
        <w:pStyle w:val="Heading2"/>
      </w:pPr>
      <w:r>
        <w:t xml:space="preserve">3. Recap: why guidance was already raised in Q1</w:t>
      </w:r>
    </w:p>
    <w:p>
      <w:pPr>
        <w:pStyle w:val="FirstParagraph"/>
      </w:pPr>
      <w:r>
        <w:t xml:space="preserve">Host's Q1 2026 print (reported May 6) set an upbeat tone that this quarter needs to build on. The company delivered comparable hotel RevPAR growth of 4.4% and comparable hotel Total RevPAR growth of 4.6%, driven by strong leisure/resort demand, robust group bookings, and standout performance in San Francisco (which posted roughly 26% RevPAR growth around the Super Bowl) and Florida/Phoenix resorts. Management raised full-year 2026 guidance to comparable hotel RevPAR growth of 3.0%–4.5% (from 2.0%–3.5%) and Total RevPAR growth of 3.5%–5.0%, alongside an adjusted FFO per share guide of</w:t>
      </w:r>
      <w:r>
        <w:t xml:space="preserve"> </w:t>
      </w:r>
      <m:oMath>
        <m:r>
          <m:t>2.10</m:t>
        </m:r>
        <m:r>
          <m:rPr>
            <m:sty m:val="p"/>
          </m:rPr>
          <m:t>–</m:t>
        </m:r>
      </m:oMath>
      <w:r>
        <w:t xml:space="preserve">2.16 and adjusted EBITDAre of</w:t>
      </w:r>
      <w:r>
        <w:t xml:space="preserve"> </w:t>
      </w:r>
      <m:oMath>
        <m:r>
          <m:t>1.785</m:t>
        </m:r>
        <m:r>
          <m:rPr>
            <m:sty m:val="p"/>
          </m:rPr>
          <m:t>–</m:t>
        </m:r>
      </m:oMath>
      <w:r>
        <w:t xml:space="preserve">1.835 billion. Management explicitly said it expects</w:t>
      </w:r>
      <w:r>
        <w:t xml:space="preserve"> </w:t>
      </w:r>
      <w:r>
        <w:rPr>
          <w:b/>
          <w:bCs/>
        </w:rPr>
        <w:t xml:space="preserve">second-quarter RevPAR growth to be similar to Q1</w:t>
      </w:r>
      <w:r>
        <w:t xml:space="preserve">, driven by FIFA World Cup demand, with growth decelerating to low-single digits in the back half of the year as rate comps get tougher.</w:t>
      </w:r>
    </w:p>
    <w:p>
      <w:pPr>
        <w:pStyle w:val="BodyText"/>
      </w:pPr>
      <w:r>
        <w:t xml:space="preserve">Crucially, on the Q1 call CFO Sourav Ghosh indicated that</w:t>
      </w:r>
      <w:r>
        <w:t xml:space="preserve"> </w:t>
      </w:r>
      <w:r>
        <w:rPr>
          <w:b/>
          <w:bCs/>
        </w:rPr>
        <w:t xml:space="preserve">roughly two-thirds of the ~60bps World Cup RevPAR tailwind</w:t>
      </w:r>
      <w:r>
        <w:t xml:space="preserve"> </w:t>
      </w:r>
      <w:r>
        <w:t xml:space="preserve">for the full year was expected to land in Q2, with the balance in Q3 — making this print the peak read on that catalyst.</w:t>
      </w:r>
    </w:p>
    <w:bookmarkEnd w:id="11"/>
    <w:bookmarkStart w:id="12" w:name="Xa1e3cf6b6f62bc50dc61b8a86e31a4d8cd7b474"/>
    <w:p>
      <w:pPr>
        <w:pStyle w:val="Heading2"/>
      </w:pPr>
      <w:r>
        <w:t xml:space="preserve">4. The World Cup wildcard — and why it may already be "priced in"</w:t>
      </w:r>
    </w:p>
    <w:p>
      <w:pPr>
        <w:pStyle w:val="FirstParagraph"/>
      </w:pPr>
      <w:r>
        <w:t xml:space="preserve">Host has a concrete, named World Cup connection: the company has emerged as a notable beneficiary of the 2026 FIFA World Cup travel boom, with its Fairmont Mayakoba resort in Mexico chosen to host national team delegations, while a surge in World Cup-driven travel demand prompted management to raise its full-year guidance for comparable hotel RevPAR and EBITDAre.</w:t>
      </w:r>
    </w:p>
    <w:p>
      <w:pPr>
        <w:pStyle w:val="BodyText"/>
      </w:pPr>
      <w:r>
        <w:t xml:space="preserve">Industry data confirms the tournament's outsized impact on the quarter. In the trailing-28-day period ending July 18, national RevPAR was up 8.1% (June RevPAR was up 8.4%), according to STR/CoStar, and the roughly 8%+ national RevPAR increase was fueled by a 15% to 20%+ RevPAR spike recorded in many World Cup host cities. HVS has responded by lifting its industry-wide outlook: HVS now forecasts 4.5% U.S. RevPAR growth for 2026, lifted by World Cup demand and revenge travel — a bounce back from the 0.3% decline in 2025, up from a more conservative 3.0% call just weeks earlier.</w:t>
      </w:r>
    </w:p>
    <w:p>
      <w:pPr>
        <w:pStyle w:val="BodyText"/>
      </w:pPr>
      <w:r>
        <w:t xml:space="preserve">However, there's a nuance for investors: after the print, one desk flagged that expectations may have already caught up. World Cup anticipation has "taken a back seat" to strong underlying RevPAR performance that suggests upside to Q2 results even if World Cup upside fails to fully materialize, while hotel pricing has continued to moderate, moving lower at roughly 70% of lodging REIT hotels since April (per BMO Capital). That's a useful signal that the market may be less focused on a clean "World Cup beat" and more on underlying trend/guidance durability into 2H.</w:t>
      </w:r>
    </w:p>
    <w:p>
      <w:pPr>
        <w:pStyle w:val="BodyText"/>
      </w:pPr>
      <w:r>
        <w:t xml:space="preserve">Read-through from a key branded partner: Hyatt just raised its 2026 comparable system-wide RevPAR growth outlook to 3.5%–4.5% (from 2%–4%), citing strong U.S. performance including demand connected to the FIFA World Cup, though it also flagged that Middle East conflict reduced its second-quarter RevPAR growth by approximately 110 basis points — a reminder that geopolitics can cut both ways (helping via "stay-domestic" travel substitution while denting some international volumes).</w:t>
      </w:r>
    </w:p>
    <w:bookmarkEnd w:id="12"/>
    <w:bookmarkStart w:id="13" w:name="Xfa205487bd031c05ac92ce55607aed6df9c8138"/>
    <w:p>
      <w:pPr>
        <w:pStyle w:val="Heading2"/>
      </w:pPr>
      <w:r>
        <w:t xml:space="preserve">5. Key things to watch on the call</w:t>
      </w:r>
    </w:p>
    <w:p>
      <w:pPr>
        <w:pStyle w:val="Compact"/>
        <w:numPr>
          <w:ilvl w:val="0"/>
          <w:numId w:val="1002"/>
        </w:numPr>
      </w:pPr>
      <w:r>
        <w:rPr>
          <w:b/>
          <w:bCs/>
        </w:rPr>
        <w:t xml:space="preserve">Cadence into Q3/Q4:</w:t>
      </w:r>
      <w:r>
        <w:t xml:space="preserve"> </w:t>
      </w:r>
      <w:r>
        <w:t xml:space="preserve">Does management confirm the low-single-digit RevPAR deceleration flagged for 2H, or does resilient leisure/luxury demand let them push the full-year range higher again (as they did last quarter)?</w:t>
      </w:r>
    </w:p>
    <w:p>
      <w:pPr>
        <w:pStyle w:val="Compact"/>
        <w:numPr>
          <w:ilvl w:val="0"/>
          <w:numId w:val="1002"/>
        </w:numPr>
      </w:pPr>
      <w:r>
        <w:rPr>
          <w:b/>
          <w:bCs/>
        </w:rPr>
        <w:t xml:space="preserve">Maui/Hawaii:</w:t>
      </w:r>
      <w:r>
        <w:t xml:space="preserve"> </w:t>
      </w:r>
      <w:r>
        <w:t xml:space="preserve">Q1 included ~120bps of weather disruption (Kona Low storm + a winter storm), and management reiterated confidence in a ~$120 million Maui EBITDA contribution for the year, aided by rebookings. Watch for confirmation that this is tracking and that insurance recoveries for the storm are progressing.</w:t>
      </w:r>
    </w:p>
    <w:p>
      <w:pPr>
        <w:pStyle w:val="Compact"/>
        <w:numPr>
          <w:ilvl w:val="0"/>
          <w:numId w:val="1002"/>
        </w:numPr>
      </w:pPr>
      <w:r>
        <w:rPr>
          <w:b/>
          <w:bCs/>
        </w:rPr>
        <w:t xml:space="preserve">Group pace and business transient:</w:t>
      </w:r>
      <w:r>
        <w:t xml:space="preserve"> </w:t>
      </w:r>
      <w:r>
        <w:t xml:space="preserve">Q1 showed 3.5 million definite group room nights on the books (up 12% versus Q4) and total group revenue pace up nearly 4%; business transient was mixing away from government toward corporate/consulting/tech/financial-services demand. Any update on group pace strength for Q3/Q4 (both flagged as high-single-digit pace quarters) matters for 2H confidence.</w:t>
      </w:r>
    </w:p>
    <w:p>
      <w:pPr>
        <w:pStyle w:val="Compact"/>
        <w:numPr>
          <w:ilvl w:val="0"/>
          <w:numId w:val="1002"/>
        </w:numPr>
      </w:pPr>
      <w:r>
        <w:rPr>
          <w:b/>
          <w:bCs/>
        </w:rPr>
        <w:t xml:space="preserve">Margins/wages:</w:t>
      </w:r>
      <w:r>
        <w:t xml:space="preserve"> </w:t>
      </w:r>
      <w:r>
        <w:t xml:space="preserve">Q1 comparable hotel EBITDA margin expanded 70bps to 32.7% even as wage rates rose roughly 5%, helped by productivity gains via Marriott's ATLAS and Hyatt's Olympia labor systems. Watch whether margin expansion holds up as rate growth decelerates in 2H (management guided to a ~30bps improvement at the full-year midpoint).</w:t>
      </w:r>
    </w:p>
    <w:p>
      <w:pPr>
        <w:pStyle w:val="Compact"/>
        <w:numPr>
          <w:ilvl w:val="0"/>
          <w:numId w:val="1002"/>
        </w:numPr>
      </w:pPr>
      <w:r>
        <w:rPr>
          <w:b/>
          <w:bCs/>
        </w:rPr>
        <w:t xml:space="preserve">Capital allocation:</w:t>
      </w:r>
      <w:r>
        <w:t xml:space="preserve"> </w:t>
      </w:r>
      <w:r>
        <w:t xml:space="preserve">Host paid a $0.20 regular dividend plus a</w:t>
      </w:r>
      <w:r>
        <w:t xml:space="preserve"> </w:t>
      </w:r>
      <m:oMath>
        <m:r>
          <m:t>0.72</m:t>
        </m:r>
        <m:r>
          <m:t>s</m:t>
        </m:r>
        <m:r>
          <m:t>p</m:t>
        </m:r>
        <m:r>
          <m:t>e</m:t>
        </m:r>
        <m:r>
          <m:t>c</m:t>
        </m:r>
        <m:r>
          <m:t>i</m:t>
        </m:r>
        <m:r>
          <m:t>a</m:t>
        </m:r>
        <m:r>
          <m:t>l</m:t>
        </m:r>
        <m:r>
          <m:t>d</m:t>
        </m:r>
        <m:r>
          <m:t>i</m:t>
        </m:r>
        <m:r>
          <m:t>v</m:t>
        </m:r>
        <m:r>
          <m:t>i</m:t>
        </m:r>
        <m:r>
          <m:t>d</m:t>
        </m:r>
        <m:r>
          <m:t>e</m:t>
        </m:r>
        <m:r>
          <m:t>n</m:t>
        </m:r>
        <m:r>
          <m:t>d</m:t>
        </m:r>
        <m:r>
          <m:rPr>
            <m:sty m:val="p"/>
          </m:rPr>
          <m:t>(</m:t>
        </m:r>
        <m:r>
          <m:t>t</m:t>
        </m:r>
        <m:r>
          <m:t>i</m:t>
        </m:r>
        <m:r>
          <m:t>e</m:t>
        </m:r>
        <m:r>
          <m:t>d</m:t>
        </m:r>
        <m:r>
          <m:t>t</m:t>
        </m:r>
        <m:r>
          <m:t>o</m:t>
        </m:r>
        <m:r>
          <m:t>t</m:t>
        </m:r>
        <m:r>
          <m:t>h</m:t>
        </m:r>
        <m:r>
          <m:t>e</m:t>
        </m:r>
        <m:r>
          <m:t> </m:t>
        </m:r>
      </m:oMath>
      <w:r>
        <w:t xml:space="preserve">500 million taxable gain on the Four Seasons Orlando/Jackson Hole sales) on July 15. Watch for commentary on remaining buyback capacity (roughly $405 million as of Q1), the assumed Sheraton Parsippany disposition, and any use of the remaining Four Seasons sale proceeds (acquisitions, further buybacks, or another special dividend).</w:t>
      </w:r>
    </w:p>
    <w:p>
      <w:pPr>
        <w:pStyle w:val="Compact"/>
        <w:numPr>
          <w:ilvl w:val="0"/>
          <w:numId w:val="1002"/>
        </w:numPr>
      </w:pPr>
      <w:r>
        <w:rPr>
          <w:b/>
          <w:bCs/>
        </w:rPr>
        <w:t xml:space="preserve">Condo development:</w:t>
      </w:r>
      <w:r>
        <w:t xml:space="preserve"> </w:t>
      </w:r>
      <w:r>
        <w:t xml:space="preserve">The Four Seasons Orlando condo project was 28 of 40 units sold/under contract as of Q1 and slated to sell out by year-end, contributing an estimated $20–25 million to net income/EBITDAre for the year — a modest but real swing factor to watch for on pacing.</w:t>
      </w:r>
    </w:p>
    <w:p>
      <w:pPr>
        <w:pStyle w:val="Compact"/>
        <w:numPr>
          <w:ilvl w:val="0"/>
          <w:numId w:val="1002"/>
        </w:numPr>
      </w:pPr>
      <w:r>
        <w:rPr>
          <w:b/>
          <w:bCs/>
        </w:rPr>
        <w:t xml:space="preserve">ROI/renovation payoff:</w:t>
      </w:r>
      <w:r>
        <w:t xml:space="preserve"> </w:t>
      </w:r>
      <w:r>
        <w:t xml:space="preserve">Management has flagged nearly a 9-point RevPAR index-share gain across 21 stabilized renovated hotels, with the Marriott/Hyatt Transformational Capital Programs now covering hotels expected to generate ~60% of 2026 EBITDA. Any incremental color on stabilization economics (or on the final Manchester Grand Hyatt San Diego renovation, due late 2026) is a durable positive.</w:t>
      </w:r>
    </w:p>
    <w:bookmarkEnd w:id="13"/>
    <w:bookmarkStart w:id="14" w:name="Xce0c3829e6a6401f07e5f308ecc1fa3e462b77e"/>
    <w:p>
      <w:pPr>
        <w:pStyle w:val="Heading2"/>
      </w:pPr>
      <w:r>
        <w:t xml:space="preserve">6. Sector backdrop</w:t>
      </w:r>
    </w:p>
    <w:p>
      <w:pPr>
        <w:pStyle w:val="FirstParagraph"/>
      </w:pPr>
      <w:r>
        <w:t xml:space="preserve">The broader industry read is favorable but decelerating from a scorching summer peak. Consistent RevPAR growth has exceeded expectations in 2026, prompting a 4.5% forecasted rebound after a 0.3% decline in 2025, with a trailing 28-day RevPAR increase of 8.1% fueled by World Cup–related ADR spikes of up to 20% in host cities, combined with heightened domestic demand driven by conflict-induced "staycations" and robust convention calendars. HVS itself cautions that the recent growth, partly fueled by the World Cup matches, will wane somewhat in the second half of the year — consistent with Host's own 2H guidance framing. Luxury/upper-upscale — Host's core exposure — has been the biggest beneficiary of the "revenge travel" and stay-domestic dynamic, per HVS commentary on affluent leisure demand.</w:t>
      </w:r>
    </w:p>
    <w:bookmarkEnd w:id="14"/>
    <w:bookmarkStart w:id="15" w:name="Xe6bde9458ced77887c4f755ee3ae2c67bf82640"/>
    <w:p>
      <w:pPr>
        <w:pStyle w:val="Heading2"/>
      </w:pPr>
      <w:r>
        <w:t xml:space="preserve">7. Valuation and sentiment check</w:t>
      </w:r>
    </w:p>
    <w:p>
      <w:pPr>
        <w:pStyle w:val="FirstParagraph"/>
      </w:pPr>
      <w:r>
        <w:t xml:space="preserve">With the stock up sharply, valuation debate is now front and center. Analysts' consensus opinion on HST stock is a "Moderate Buy" overall, with 11 of 21 analysts at "Strong Buy," one at "Moderate Buy," and nine at "Hold." Price targets have been marching higher all year (from the high-teens/low-</w:t>
      </w:r>
      <m:oMath>
        <m:r>
          <m:t>20</m:t>
        </m:r>
        <m:r>
          <m:t>s</m:t>
        </m:r>
        <m:r>
          <m:t>i</m:t>
        </m:r>
        <m:r>
          <m:t>n</m:t>
        </m:r>
        <m:r>
          <m:t>Q</m:t>
        </m:r>
        <m:r>
          <m:t>1</m:t>
        </m:r>
        <m:r>
          <m:t>t</m:t>
        </m:r>
        <m:r>
          <m:t>o</m:t>
        </m:r>
        <m:r>
          <m:t>t</m:t>
        </m:r>
        <m:r>
          <m:t>h</m:t>
        </m:r>
        <m:r>
          <m:t>e</m:t>
        </m:r>
        <m:r>
          <m:t>m</m:t>
        </m:r>
        <m:r>
          <m:t>i</m:t>
        </m:r>
        <m:r>
          <m:t>d</m:t>
        </m:r>
        <m:r>
          <m:rPr>
            <m:sty m:val="p"/>
          </m:rPr>
          <m:t>−</m:t>
        </m:r>
      </m:oMath>
      <w:r>
        <w:t xml:space="preserve">20s/$27 now), but the stock has largely kept pace with — or outrun — those upgrades, meaning the bar for an "in-line-and-raise" reaction is high. A number that merely confirms consensus without a fresh raise to full-year guidance could be a "sell the news" setup given how far sentiment and the share price have already run.</w:t>
      </w:r>
    </w:p>
    <w:bookmarkEnd w:id="15"/>
    <w:bookmarkStart w:id="16" w:name="X59a56c4de27670f2623d3582f339eb306b624b0"/>
    <w:p>
      <w:pPr>
        <w:pStyle w:val="Heading2"/>
      </w:pPr>
      <w:r>
        <w:t xml:space="preserve">8. Bottom line</w:t>
      </w:r>
    </w:p>
    <w:p>
      <w:pPr>
        <w:pStyle w:val="FirstParagraph"/>
      </w:pPr>
      <w:r>
        <w:t xml:space="preserve">Host heads into Q2 2026 with real momentum: a clean beat streak, an improving demand backdrop (leisure resilience, World Cup transient strength, recovering group bookings, San Francisco's tech-driven recovery, Maui stabilizing), a strong balance sheet (low leverage, ample liquidity, no 2026 debt maturities), and active capital return (dividend plus buybacks). The consensus bar — modest RevPAR/occupancy deceleration but still positive rate-led growth, ~62 cents AFFO, margin expansion — looks achievable given Q1's trajectory and the World Cup tailwind concentrated in this quarter. The bigger swing factor for the stock reaction is less "did they beat Q2" and more "how confident does management sound about 2H 2026," since consensus already prices in a step-down in growth after the World Cup boost fades and comparisons get tougher into year-end.</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2026-08-05T01:37:20Z</dcterms:created>
  <dcterms:modified xsi:type="dcterms:W3CDTF">2026-08-05T01:37:20Z</dcterms:modified>
</cp:coreProperties>
</file>

<file path=docProps/custom.xml><?xml version="1.0" encoding="utf-8"?>
<Properties xmlns="http://schemas.openxmlformats.org/officeDocument/2006/custom-properties" xmlns:vt="http://schemas.openxmlformats.org/officeDocument/2006/docPropsVTypes"/>
</file>