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hst-q2-2026-earnings-preview"/>
    <w:p>
      <w:pPr>
        <w:pStyle w:val="Heading1"/>
      </w:pPr>
      <w:r>
        <w:t xml:space="preserve">HST Q2 2026 Earnings Preview</w:t>
      </w:r>
    </w:p>
    <w:p>
      <w:pPr>
        <w:pStyle w:val="BlockText"/>
      </w:pPr>
      <w:r>
        <w:rPr>
          <w:b/>
          <w:bCs/>
        </w:rPr>
        <w:t xml:space="preserve">Timing clarification:</w:t>
      </w:r>
      <w:r>
        <w:t xml:space="preserve"> </w:t>
      </w:r>
      <w:r>
        <w:t xml:space="preserve">Host Hotels &amp; Resorts is scheduled to release Q2 results</w:t>
      </w:r>
      <w:r>
        <w:t xml:space="preserve"> </w:t>
      </w:r>
      <w:r>
        <w:rPr>
          <w:b/>
          <w:bCs/>
        </w:rPr>
        <w:t xml:space="preserve">today, Wednesday, August 5, 2026, after the market closes</w:t>
      </w:r>
      <w:r>
        <w:t xml:space="preserve">. The earnings call is</w:t>
      </w:r>
      <w:r>
        <w:t xml:space="preserve"> </w:t>
      </w:r>
      <w:r>
        <w:rPr>
          <w:b/>
          <w:bCs/>
        </w:rPr>
        <w:t xml:space="preserve">tomorrow, Thursday, August 6, at 10:00 a.m. ET</w:t>
      </w:r>
      <w:r>
        <w:t xml:space="preserve">. (</w:t>
      </w:r>
      <w:hyperlink r:id="rId9">
        <w:r>
          <w:rPr>
            <w:rStyle w:val="Hyperlink"/>
          </w:rPr>
          <w:t xml:space="preserve">hosthotels.com</w:t>
        </w:r>
      </w:hyperlink>
      <w:r>
        <w:t xml:space="preserve">)</w:t>
      </w:r>
    </w:p>
    <w:bookmarkStart w:id="10" w:name="investment-view-going-into-the-report"/>
    <w:p>
      <w:pPr>
        <w:pStyle w:val="Heading2"/>
      </w:pPr>
      <w:r>
        <w:t xml:space="preserve">Investment view going into the report</w:t>
      </w:r>
    </w:p>
    <w:p>
      <w:pPr>
        <w:pStyle w:val="FirstParagraph"/>
      </w:pPr>
      <w:r>
        <w:t xml:space="preserve">The operating setup looks favorable. Luxury demand has remained resilient, World Cup activity appears to have exceeded initial industry expectations, and recent Marriott and Hyatt results provide encouraging read-throughs for Host’s upper-upscale portfolio.</w:t>
      </w:r>
    </w:p>
    <w:p>
      <w:pPr>
        <w:pStyle w:val="BodyText"/>
      </w:pPr>
      <w:r>
        <w:t xml:space="preserve">The complication is expectations: HST closed at</w:t>
      </w:r>
      <w:r>
        <w:t xml:space="preserve"> </w:t>
      </w:r>
      <w:r>
        <w:rPr>
          <w:b/>
          <w:bCs/>
        </w:rPr>
        <w:t xml:space="preserve">$25.00 on August 4</w:t>
      </w:r>
      <w:r>
        <w:t xml:space="preserve">, up roughly</w:t>
      </w:r>
      <w:r>
        <w:t xml:space="preserve"> </w:t>
      </w:r>
      <w:r>
        <w:rPr>
          <w:b/>
          <w:bCs/>
        </w:rPr>
        <w:t xml:space="preserve">15% since its Q1 report</w:t>
      </w:r>
      <w:r>
        <w:t xml:space="preserve">, and the company already raised full-year guidance in May. A merely in-line quarter may therefore produce a muted response. The most important question is not whether Q2 was good, but whether it was strong enough to support another guidance increase—or at least greater confidence in the upper half of the current range.</w:t>
      </w:r>
    </w:p>
    <w:bookmarkEnd w:id="10"/>
    <w:bookmarkStart w:id="12" w:name="key-reference-points"/>
    <w:p>
      <w:pPr>
        <w:pStyle w:val="Heading2"/>
      </w:pPr>
      <w:r>
        <w:t xml:space="preserve">Key reference points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 Current guidance</w:t>
            </w:r>
          </w:p>
        </w:tc>
        <w:tc>
          <w:tcPr/>
          <w:p>
            <w:pPr>
              <w:pStyle w:val="Compact"/>
              <w:jc w:val="right"/>
            </w:pPr>
            <w:r>
              <w:t xml:space="preserve">Q2 2025 comparison</w:t>
            </w:r>
          </w:p>
        </w:tc>
      </w:tr>
      <w:tr>
        <w:tc>
          <w:tcPr/>
          <w:p>
            <w:pPr>
              <w:pStyle w:val="Compact"/>
            </w:pPr>
            <w:r>
              <w:t xml:space="preserve">Comparable hotel RevPAR growth</w:t>
            </w:r>
          </w:p>
        </w:tc>
        <w:tc>
          <w:tcPr/>
          <w:p>
            <w:pPr>
              <w:pStyle w:val="Compact"/>
              <w:jc w:val="right"/>
            </w:pPr>
            <w:r>
              <w:t xml:space="preserve">Q1:</w:t>
            </w:r>
            <w:r>
              <w:t xml:space="preserve"> </w:t>
            </w:r>
            <w:r>
              <w:rPr>
                <w:b/>
                <w:bCs/>
              </w:rPr>
              <w:t xml:space="preserve">+4.4%</w:t>
            </w:r>
          </w:p>
        </w:tc>
        <w:tc>
          <w:tcPr/>
          <w:p>
            <w:pPr>
              <w:pStyle w:val="Compact"/>
              <w:jc w:val="right"/>
            </w:pPr>
            <w:r>
              <w:rPr>
                <w:b/>
                <w:bCs/>
              </w:rPr>
              <w:t xml:space="preserve">+3.0%</w:t>
            </w:r>
          </w:p>
        </w:tc>
      </w:tr>
      <w:tr>
        <w:tc>
          <w:tcPr/>
          <w:p>
            <w:pPr>
              <w:pStyle w:val="Compact"/>
            </w:pPr>
            <w:r>
              <w:t xml:space="preserve">Comparable hotel Total RevPAR growth</w:t>
            </w:r>
          </w:p>
        </w:tc>
        <w:tc>
          <w:tcPr/>
          <w:p>
            <w:pPr>
              <w:pStyle w:val="Compact"/>
              <w:jc w:val="right"/>
            </w:pPr>
            <w:r>
              <w:t xml:space="preserve">Q1:</w:t>
            </w:r>
            <w:r>
              <w:t xml:space="preserve"> </w:t>
            </w:r>
            <w:r>
              <w:rPr>
                <w:b/>
                <w:bCs/>
              </w:rPr>
              <w:t xml:space="preserve">+4.6%</w:t>
            </w:r>
          </w:p>
        </w:tc>
        <w:tc>
          <w:tcPr/>
          <w:p>
            <w:pPr>
              <w:pStyle w:val="Compact"/>
              <w:jc w:val="right"/>
            </w:pPr>
            <w:r>
              <w:rPr>
                <w:b/>
                <w:bCs/>
              </w:rPr>
              <w:t xml:space="preserve">+4.2%</w:t>
            </w:r>
          </w:p>
        </w:tc>
      </w:tr>
      <w:tr>
        <w:tc>
          <w:tcPr/>
          <w:p>
            <w:pPr>
              <w:pStyle w:val="Compact"/>
            </w:pPr>
            <w:r>
              <w:t xml:space="preserve">Comparable hotel EBITDA margin</w:t>
            </w:r>
          </w:p>
        </w:tc>
        <w:tc>
          <w:tcPr/>
          <w:p>
            <w:pPr>
              <w:pStyle w:val="Compact"/>
              <w:jc w:val="right"/>
            </w:pPr>
            <w:r>
              <w:t xml:space="preserve">Q1:</w:t>
            </w:r>
            <w:r>
              <w:t xml:space="preserve"> </w:t>
            </w:r>
            <w:r>
              <w:rPr>
                <w:b/>
                <w:bCs/>
              </w:rPr>
              <w:t xml:space="preserve">32.7%, +70 bps</w:t>
            </w:r>
          </w:p>
        </w:tc>
        <w:tc>
          <w:tcPr/>
          <w:p>
            <w:pPr>
              <w:pStyle w:val="Compact"/>
              <w:jc w:val="right"/>
            </w:pPr>
            <w:r>
              <w:rPr>
                <w:b/>
                <w:bCs/>
              </w:rPr>
              <w:t xml:space="preserve">31.0%</w:t>
            </w:r>
          </w:p>
        </w:tc>
      </w:tr>
      <w:tr>
        <w:tc>
          <w:tcPr/>
          <w:p>
            <w:pPr>
              <w:pStyle w:val="Compact"/>
            </w:pPr>
            <w:r>
              <w:t xml:space="preserve">Adjusted EBITDAre</w:t>
            </w:r>
          </w:p>
        </w:tc>
        <w:tc>
          <w:tcPr/>
          <w:p>
            <w:pPr>
              <w:pStyle w:val="Compact"/>
              <w:jc w:val="right"/>
            </w:pPr>
            <w:r>
              <w:t xml:space="preserve">Q1:</w:t>
            </w:r>
            <w:r>
              <w:t xml:space="preserve"> </w:t>
            </w:r>
            <w:r>
              <w:rPr>
                <w:b/>
                <w:bCs/>
              </w:rPr>
              <w:t xml:space="preserve">$543M</w:t>
            </w:r>
          </w:p>
        </w:tc>
        <w:tc>
          <w:tcPr/>
          <w:p>
            <w:pPr>
              <w:pStyle w:val="Compact"/>
              <w:jc w:val="right"/>
            </w:pPr>
            <w:r>
              <w:rPr>
                <w:b/>
                <w:bCs/>
              </w:rPr>
              <w:t xml:space="preserve">$496M</w:t>
            </w:r>
          </w:p>
        </w:tc>
      </w:tr>
      <w:tr>
        <w:tc>
          <w:tcPr/>
          <w:p>
            <w:pPr>
              <w:pStyle w:val="Compact"/>
            </w:pPr>
            <w:r>
              <w:t xml:space="preserve">Adjusted FFO/share</w:t>
            </w:r>
          </w:p>
        </w:tc>
        <w:tc>
          <w:tcPr/>
          <w:p>
            <w:pPr>
              <w:pStyle w:val="Compact"/>
              <w:jc w:val="right"/>
            </w:pPr>
            <w:r>
              <w:t xml:space="preserve">Q1:</w:t>
            </w:r>
            <w:r>
              <w:t xml:space="preserve"> </w:t>
            </w:r>
            <w:r>
              <w:rPr>
                <w:b/>
                <w:bCs/>
              </w:rPr>
              <w:t xml:space="preserve">$0.67</w:t>
            </w:r>
          </w:p>
        </w:tc>
        <w:tc>
          <w:tcPr/>
          <w:p>
            <w:pPr>
              <w:pStyle w:val="Compact"/>
              <w:jc w:val="right"/>
            </w:pPr>
            <w:r>
              <w:rPr>
                <w:b/>
                <w:bCs/>
              </w:rPr>
              <w:t xml:space="preserve">$0.58</w:t>
            </w:r>
          </w:p>
        </w:tc>
      </w:tr>
      <w:tr>
        <w:tc>
          <w:tcPr/>
          <w:p>
            <w:pPr>
              <w:pStyle w:val="Compact"/>
            </w:pPr>
            <w:r>
              <w:t xml:space="preserve">FY26 comparable RevPAR guidance</w:t>
            </w:r>
          </w:p>
        </w:tc>
        <w:tc>
          <w:tcPr/>
          <w:p>
            <w:pPr>
              <w:pStyle w:val="Compact"/>
              <w:jc w:val="right"/>
            </w:pPr>
            <w:r>
              <w:rPr>
                <w:b/>
                <w:bCs/>
              </w:rPr>
              <w:t xml:space="preserve">+3.0% to +4.5%</w:t>
            </w:r>
          </w:p>
        </w:tc>
        <w:tc>
          <w:tcPr/>
          <w:p>
            <w:pPr>
              <w:pStyle w:val="Compact"/>
              <w:jc w:val="right"/>
            </w:pPr>
            <w:r>
              <w:t xml:space="preserve">—</w:t>
            </w:r>
          </w:p>
        </w:tc>
      </w:tr>
      <w:tr>
        <w:tc>
          <w:tcPr/>
          <w:p>
            <w:pPr>
              <w:pStyle w:val="Compact"/>
            </w:pPr>
            <w:r>
              <w:t xml:space="preserve">FY26 Adjusted EBITDAre guidance</w:t>
            </w:r>
          </w:p>
        </w:tc>
        <w:tc>
          <w:tcPr/>
          <w:p>
            <w:pPr>
              <w:pStyle w:val="Compact"/>
              <w:jc w:val="right"/>
            </w:pPr>
            <m:oMath>
              <m:r>
                <m:t>1.785</m:t>
              </m:r>
              <m:r>
                <m:t>B</m:t>
              </m:r>
              <m:r>
                <m:rPr>
                  <m:sty m:val="p"/>
                </m:rPr>
                <m:t>–</m:t>
              </m:r>
            </m:oMath>
            <w:r>
              <w:rPr>
                <w:b/>
                <w:bCs/>
              </w:rPr>
              <w:t xml:space="preserve">1.835B</w:t>
            </w:r>
          </w:p>
        </w:tc>
        <w:tc>
          <w:tcPr/>
          <w:p>
            <w:pPr>
              <w:pStyle w:val="Compact"/>
              <w:jc w:val="right"/>
            </w:pPr>
            <w:r>
              <w:t xml:space="preserve">—</w:t>
            </w:r>
          </w:p>
        </w:tc>
      </w:tr>
      <w:tr>
        <w:tc>
          <w:tcPr/>
          <w:p>
            <w:pPr>
              <w:pStyle w:val="Compact"/>
            </w:pPr>
            <w:r>
              <w:t xml:space="preserve">FY26 adjusted FFO/share guidance</w:t>
            </w:r>
          </w:p>
        </w:tc>
        <w:tc>
          <w:tcPr/>
          <w:p>
            <w:pPr>
              <w:pStyle w:val="Compact"/>
              <w:jc w:val="right"/>
            </w:pPr>
            <m:oMath>
              <m:r>
                <m:t>2.10</m:t>
              </m:r>
              <m:r>
                <m:rPr>
                  <m:sty m:val="p"/>
                </m:rPr>
                <m:t>–</m:t>
              </m:r>
            </m:oMath>
            <w:r>
              <w:rPr>
                <w:b/>
                <w:bCs/>
              </w:rPr>
              <w:t xml:space="preserve">2.16</w:t>
            </w:r>
          </w:p>
        </w:tc>
        <w:tc>
          <w:tcPr/>
          <w:p>
            <w:pPr>
              <w:pStyle w:val="Compact"/>
              <w:jc w:val="right"/>
            </w:pPr>
            <w:r>
              <w:t xml:space="preserve">—</w:t>
            </w:r>
          </w:p>
        </w:tc>
      </w:tr>
    </w:tbl>
    <w:p>
      <w:pPr>
        <w:pStyle w:val="BodyText"/>
      </w:pPr>
      <w:r>
        <w:t xml:space="preserve">Host entered Q2 after a better-than-expected first quarter and raised its full-year RevPAR, margin, EBITDAre and FFO outlook. Management specifically expected Q2 RevPAR growth to be similar to Q1, helped by the World Cup. (</w:t>
      </w:r>
      <w:hyperlink r:id="rId11">
        <w:r>
          <w:rPr>
            <w:rStyle w:val="Hyperlink"/>
          </w:rPr>
          <w:t xml:space="preserve">hosthotels.com</w:t>
        </w:r>
      </w:hyperlink>
      <w:r>
        <w:t xml:space="preserve">)</w:t>
      </w:r>
    </w:p>
    <w:bookmarkEnd w:id="12"/>
    <w:bookmarkStart w:id="23" w:name="what-matters-most"/>
    <w:p>
      <w:pPr>
        <w:pStyle w:val="Heading2"/>
      </w:pPr>
      <w:r>
        <w:t xml:space="preserve">What matters most</w:t>
      </w:r>
    </w:p>
    <w:bookmarkStart w:id="13" w:name="X00558c49561789e7e43eb7ceccf9b2872f08c4d"/>
    <w:p>
      <w:pPr>
        <w:pStyle w:val="Heading3"/>
      </w:pPr>
      <w:r>
        <w:t xml:space="preserve">1. World Cup execution and Q2 RevPAR</w:t>
      </w:r>
    </w:p>
    <w:p>
      <w:pPr>
        <w:pStyle w:val="FirstParagraph"/>
      </w:pPr>
      <w:r>
        <w:t xml:space="preserve">This is the central near-term catalyst. In May, Host expected the World Cup to contribute approximately</w:t>
      </w:r>
      <w:r>
        <w:t xml:space="preserve"> </w:t>
      </w:r>
      <w:r>
        <w:rPr>
          <w:b/>
          <w:bCs/>
        </w:rPr>
        <w:t xml:space="preserve">60 basis points to full-year RevPAR</w:t>
      </w:r>
      <w:r>
        <w:t xml:space="preserve">, with roughly two-thirds of that benefit occurring in Q2. Management cautioned that a large portion of demand would book inside the final 30–45 days, leaving meaningful upside or downside versus early reservation data.</w:t>
      </w:r>
    </w:p>
    <w:p>
      <w:pPr>
        <w:pStyle w:val="BodyText"/>
      </w:pPr>
      <w:r>
        <w:t xml:space="preserve">Industry read-throughs are favorable:</w:t>
      </w:r>
    </w:p>
    <w:p>
      <w:pPr>
        <w:pStyle w:val="Compact"/>
        <w:numPr>
          <w:ilvl w:val="0"/>
          <w:numId w:val="1001"/>
        </w:numPr>
      </w:pPr>
      <w:r>
        <w:t xml:space="preserve">Marriott reported</w:t>
      </w:r>
      <w:r>
        <w:t xml:space="preserve"> </w:t>
      </w:r>
      <w:r>
        <w:rPr>
          <w:b/>
          <w:bCs/>
        </w:rPr>
        <w:t xml:space="preserve">5% U.S. and Canada RevPAR growth</w:t>
      </w:r>
      <w:r>
        <w:t xml:space="preserve"> </w:t>
      </w:r>
      <w:r>
        <w:t xml:space="preserve">in Q2, including strength in both World Cup and non-World Cup markets.</w:t>
      </w:r>
    </w:p>
    <w:p>
      <w:pPr>
        <w:pStyle w:val="Compact"/>
        <w:numPr>
          <w:ilvl w:val="0"/>
          <w:numId w:val="1001"/>
        </w:numPr>
      </w:pPr>
      <w:r>
        <w:t xml:space="preserve">Marriott’s U.S. luxury RevPAR increased more than</w:t>
      </w:r>
      <w:r>
        <w:t xml:space="preserve"> </w:t>
      </w:r>
      <w:r>
        <w:rPr>
          <w:b/>
          <w:bCs/>
        </w:rPr>
        <w:t xml:space="preserve">9%</w:t>
      </w:r>
      <w:r>
        <w:t xml:space="preserve">.</w:t>
      </w:r>
    </w:p>
    <w:p>
      <w:pPr>
        <w:pStyle w:val="Compact"/>
        <w:numPr>
          <w:ilvl w:val="0"/>
          <w:numId w:val="1001"/>
        </w:numPr>
      </w:pPr>
      <w:r>
        <w:t xml:space="preserve">Hyatt reported</w:t>
      </w:r>
      <w:r>
        <w:t xml:space="preserve"> </w:t>
      </w:r>
      <w:r>
        <w:rPr>
          <w:b/>
          <w:bCs/>
        </w:rPr>
        <w:t xml:space="preserve">6.7% U.S. RevPAR growth</w:t>
      </w:r>
      <w:r>
        <w:t xml:space="preserve">, with luxury and upper-upscale RevPAR both increasing approximately</w:t>
      </w:r>
      <w:r>
        <w:t xml:space="preserve"> </w:t>
      </w:r>
      <w:r>
        <w:rPr>
          <w:b/>
          <w:bCs/>
        </w:rPr>
        <w:t xml:space="preserve">6.6%</w:t>
      </w:r>
      <w:r>
        <w:t xml:space="preserve">.</w:t>
      </w:r>
    </w:p>
    <w:p>
      <w:pPr>
        <w:pStyle w:val="Compact"/>
        <w:numPr>
          <w:ilvl w:val="0"/>
          <w:numId w:val="1001"/>
        </w:numPr>
      </w:pPr>
      <w:r>
        <w:t xml:space="preserve">Both companies described strong leisure and group demand, with business transient growing more moderately.</w:t>
      </w:r>
    </w:p>
    <w:p>
      <w:pPr>
        <w:pStyle w:val="FirstParagraph"/>
      </w:pPr>
      <w:r>
        <w:t xml:space="preserve">Those results are highly relevant because Host’s portfolio is concentrated in luxury and upper-upscale hotels and has substantial exposure to Marriott and Hyatt brands.</w:t>
      </w:r>
    </w:p>
    <w:p>
      <w:pPr>
        <w:pStyle w:val="BodyText"/>
      </w:pPr>
      <w:r>
        <w:rPr>
          <w:b/>
          <w:bCs/>
        </w:rPr>
        <w:t xml:space="preserve">Preview expectation:</w:t>
      </w:r>
      <w:r>
        <w:t xml:space="preserve"> </w:t>
      </w:r>
      <w:r>
        <w:t xml:space="preserve">Comparable RevPAR growth of roughly</w:t>
      </w:r>
      <w:r>
        <w:t xml:space="preserve"> </w:t>
      </w:r>
      <w:r>
        <w:rPr>
          <w:b/>
          <w:bCs/>
        </w:rPr>
        <w:t xml:space="preserve">4%–6%</w:t>
      </w:r>
      <w:r>
        <w:t xml:space="preserve"> </w:t>
      </w:r>
      <w:r>
        <w:t xml:space="preserve">would be consistent with management’s prior comments and the favorable brand-company data. Around</w:t>
      </w:r>
      <w:r>
        <w:t xml:space="preserve"> </w:t>
      </w:r>
      <w:r>
        <w:rPr>
          <w:b/>
          <w:bCs/>
        </w:rPr>
        <w:t xml:space="preserve">5%</w:t>
      </w:r>
      <w:r>
        <w:t xml:space="preserve"> </w:t>
      </w:r>
      <w:r>
        <w:t xml:space="preserve">would represent a solid quarter. Comparable Total RevPAR should again equal or modestly exceed room RevPAR growth if food-and-beverage and ancillary spending remain strong.</w:t>
      </w:r>
    </w:p>
    <w:p>
      <w:pPr>
        <w:pStyle w:val="BodyText"/>
      </w:pPr>
      <w:r>
        <w:t xml:space="preserve">A result below approximately 4% would be disappointing given the event calendar and recent industry reports.</w:t>
      </w:r>
    </w:p>
    <w:bookmarkEnd w:id="13"/>
    <w:bookmarkStart w:id="14" w:name="X69669560bed82a57aa23cec06eadd87e6f63732"/>
    <w:p>
      <w:pPr>
        <w:pStyle w:val="Heading3"/>
      </w:pPr>
      <w:r>
        <w:t xml:space="preserve">2. Whether rate growth continues to offset wage inflation</w:t>
      </w:r>
    </w:p>
    <w:p>
      <w:pPr>
        <w:pStyle w:val="FirstParagraph"/>
      </w:pPr>
      <w:r>
        <w:t xml:space="preserve">Host’s Q1 margin performance was excellent: comparable hotel EBITDA margin increased 70 basis points as revenue growth exceeded wage and benefit growth. Management nevertheless warned that margin comparisons would moderate as the year progressed because room-rate growth was expected to slow.</w:t>
      </w:r>
    </w:p>
    <w:p>
      <w:pPr>
        <w:pStyle w:val="BodyText"/>
      </w:pPr>
      <w:r>
        <w:t xml:space="preserve">The key issue is the composition of Q2 RevPAR:</w:t>
      </w:r>
    </w:p>
    <w:p>
      <w:pPr>
        <w:pStyle w:val="Compact"/>
        <w:numPr>
          <w:ilvl w:val="0"/>
          <w:numId w:val="1002"/>
        </w:numPr>
      </w:pPr>
      <w:r>
        <w:rPr>
          <w:b/>
          <w:bCs/>
        </w:rPr>
        <w:t xml:space="preserve">ADR-led growth</w:t>
      </w:r>
      <w:r>
        <w:t xml:space="preserve"> </w:t>
      </w:r>
      <w:r>
        <w:t xml:space="preserve">should produce strong incremental margins.</w:t>
      </w:r>
    </w:p>
    <w:p>
      <w:pPr>
        <w:pStyle w:val="Compact"/>
        <w:numPr>
          <w:ilvl w:val="0"/>
          <w:numId w:val="1002"/>
        </w:numPr>
      </w:pPr>
      <w:r>
        <w:rPr>
          <w:b/>
          <w:bCs/>
        </w:rPr>
        <w:t xml:space="preserve">Occupancy-led growth</w:t>
      </w:r>
      <w:r>
        <w:t xml:space="preserve"> </w:t>
      </w:r>
      <w:r>
        <w:t xml:space="preserve">brings more housekeeping, utilities and other variable costs.</w:t>
      </w:r>
    </w:p>
    <w:p>
      <w:pPr>
        <w:pStyle w:val="Compact"/>
        <w:numPr>
          <w:ilvl w:val="0"/>
          <w:numId w:val="1002"/>
        </w:numPr>
      </w:pPr>
      <w:r>
        <w:t xml:space="preserve">Host continues to expect wage rates to rise approximately</w:t>
      </w:r>
      <w:r>
        <w:t xml:space="preserve"> </w:t>
      </w:r>
      <w:r>
        <w:rPr>
          <w:b/>
          <w:bCs/>
        </w:rPr>
        <w:t xml:space="preserve">5%</w:t>
      </w:r>
      <w:r>
        <w:t xml:space="preserve"> </w:t>
      </w:r>
      <w:r>
        <w:t xml:space="preserve">in 2026.</w:t>
      </w:r>
    </w:p>
    <w:p>
      <w:pPr>
        <w:pStyle w:val="Compact"/>
        <w:numPr>
          <w:ilvl w:val="0"/>
          <w:numId w:val="1002"/>
        </w:numPr>
      </w:pPr>
      <w:r>
        <w:t xml:space="preserve">World Cup compression should have supported unusually profitable rate growth in certain markets.</w:t>
      </w:r>
    </w:p>
    <w:p>
      <w:pPr>
        <w:pStyle w:val="FirstParagraph"/>
      </w:pPr>
      <w:r>
        <w:t xml:space="preserve">Q2 2025 comparable hotel EBITDA margin was</w:t>
      </w:r>
      <w:r>
        <w:t xml:space="preserve"> </w:t>
      </w:r>
      <w:r>
        <w:rPr>
          <w:b/>
          <w:bCs/>
        </w:rPr>
        <w:t xml:space="preserve">31.0%</w:t>
      </w:r>
      <w:r>
        <w:t xml:space="preserve">. A margin above roughly</w:t>
      </w:r>
      <w:r>
        <w:t xml:space="preserve"> </w:t>
      </w:r>
      <w:r>
        <w:rPr>
          <w:b/>
          <w:bCs/>
        </w:rPr>
        <w:t xml:space="preserve">31.5%</w:t>
      </w:r>
      <w:r>
        <w:t xml:space="preserve">, absent unusual items, would indicate favorable rate flow-through and continued operator productivity. A flat or declining margin would suggest that labor, renovation disruption or weaker non-room profitability absorbed more of the revenue upside.</w:t>
      </w:r>
    </w:p>
    <w:bookmarkEnd w:id="14"/>
    <w:bookmarkStart w:id="16" w:name="X5b4c2fbbc0d56cdb4674134243f2b4cebe7f2eb"/>
    <w:p>
      <w:pPr>
        <w:pStyle w:val="Heading3"/>
      </w:pPr>
      <w:r>
        <w:t xml:space="preserve">3. Full-year guidance: the likely stock-moving item</w:t>
      </w:r>
    </w:p>
    <w:p>
      <w:pPr>
        <w:pStyle w:val="FirstParagraph"/>
      </w:pPr>
      <w:r>
        <w:t xml:space="preserve">Current 2026 guidance is:</w:t>
      </w:r>
    </w:p>
    <w:p>
      <w:pPr>
        <w:pStyle w:val="Compact"/>
        <w:numPr>
          <w:ilvl w:val="0"/>
          <w:numId w:val="1003"/>
        </w:numPr>
      </w:pPr>
      <w:r>
        <w:t xml:space="preserve">Comparable hotel RevPAR growth:</w:t>
      </w:r>
      <w:r>
        <w:t xml:space="preserve"> </w:t>
      </w:r>
      <w:r>
        <w:rPr>
          <w:b/>
          <w:bCs/>
        </w:rPr>
        <w:t xml:space="preserve">3.0%–4.5%</w:t>
      </w:r>
    </w:p>
    <w:p>
      <w:pPr>
        <w:pStyle w:val="Compact"/>
        <w:numPr>
          <w:ilvl w:val="0"/>
          <w:numId w:val="1003"/>
        </w:numPr>
      </w:pPr>
      <w:r>
        <w:t xml:space="preserve">Comparable Total RevPAR growth:</w:t>
      </w:r>
      <w:r>
        <w:t xml:space="preserve"> </w:t>
      </w:r>
      <w:r>
        <w:rPr>
          <w:b/>
          <w:bCs/>
        </w:rPr>
        <w:t xml:space="preserve">3.5%–5.0%</w:t>
      </w:r>
    </w:p>
    <w:p>
      <w:pPr>
        <w:pStyle w:val="Compact"/>
        <w:numPr>
          <w:ilvl w:val="0"/>
          <w:numId w:val="1003"/>
        </w:numPr>
      </w:pPr>
      <w:r>
        <w:t xml:space="preserve">Comparable hotel EBITDA margin:</w:t>
      </w:r>
      <w:r>
        <w:t xml:space="preserve"> </w:t>
      </w:r>
      <w:r>
        <w:rPr>
          <w:b/>
          <w:bCs/>
        </w:rPr>
        <w:t xml:space="preserve">29.4%–29.7%</w:t>
      </w:r>
      <w:r>
        <w:t xml:space="preserve">, up 20–50 basis points</w:t>
      </w:r>
    </w:p>
    <w:p>
      <w:pPr>
        <w:pStyle w:val="Compact"/>
        <w:numPr>
          <w:ilvl w:val="0"/>
          <w:numId w:val="1003"/>
        </w:numPr>
      </w:pPr>
      <w:r>
        <w:t xml:space="preserve">Adjusted EBITDAre:</w:t>
      </w:r>
      <w:r>
        <w:t xml:space="preserve"> </w:t>
      </w:r>
      <m:oMath>
        <m:r>
          <m:t>1.785</m:t>
        </m:r>
        <m:r>
          <m:t>B</m:t>
        </m:r>
        <m:r>
          <m:rPr>
            <m:sty m:val="p"/>
          </m:rPr>
          <m:t>–</m:t>
        </m:r>
      </m:oMath>
      <w:r>
        <w:rPr>
          <w:b/>
          <w:bCs/>
        </w:rPr>
        <w:t xml:space="preserve">1.835B</w:t>
      </w:r>
    </w:p>
    <w:p>
      <w:pPr>
        <w:pStyle w:val="Compact"/>
        <w:numPr>
          <w:ilvl w:val="0"/>
          <w:numId w:val="1003"/>
        </w:numPr>
      </w:pPr>
      <w:r>
        <w:t xml:space="preserve">Adjusted FFO/share:</w:t>
      </w:r>
      <w:r>
        <w:t xml:space="preserve"> </w:t>
      </w:r>
      <m:oMath>
        <m:r>
          <m:t>2.10</m:t>
        </m:r>
        <m:r>
          <m:rPr>
            <m:sty m:val="p"/>
          </m:rPr>
          <m:t>–</m:t>
        </m:r>
      </m:oMath>
      <w:r>
        <w:rPr>
          <w:b/>
          <w:bCs/>
        </w:rPr>
        <w:t xml:space="preserve">2.16</w:t>
      </w:r>
    </w:p>
    <w:p>
      <w:pPr>
        <w:pStyle w:val="FirstParagraph"/>
      </w:pPr>
      <w:r>
        <w:t xml:space="preserve">The full-year midpoint assumes RevPAR growth of 3.75%, including a low-single-digit second half. (</w:t>
      </w:r>
      <w:hyperlink r:id="rId15">
        <w:r>
          <w:rPr>
            <w:rStyle w:val="Hyperlink"/>
          </w:rPr>
          <w:t xml:space="preserve">ir.hosthotels.com</w:t>
        </w:r>
      </w:hyperlink>
      <w:r>
        <w:t xml:space="preserve">)</w:t>
      </w:r>
    </w:p>
    <w:p>
      <w:pPr>
        <w:pStyle w:val="BodyText"/>
      </w:pPr>
      <w:r>
        <w:t xml:space="preserve">Given the Marriott and Hyatt results, maintaining guidance would probably be viewed as conservative unless management identifies meaningful company-specific offsets. A</w:t>
      </w:r>
      <w:r>
        <w:t xml:space="preserve"> </w:t>
      </w:r>
      <w:r>
        <w:rPr>
          <w:b/>
          <w:bCs/>
        </w:rPr>
        <w:t xml:space="preserve">modest increase or narrowing toward the upper half</w:t>
      </w:r>
      <w:r>
        <w:t xml:space="preserve"> </w:t>
      </w:r>
      <w:r>
        <w:t xml:space="preserve">would be the cleanest positive outcome.</w:t>
      </w:r>
    </w:p>
    <w:p>
      <w:pPr>
        <w:pStyle w:val="BodyText"/>
      </w:pPr>
      <w:r>
        <w:t xml:space="preserve">That said, investors should not automatically expect a large raise. Host already increased guidance after Q1, Q3 faces a partial World Cup benefit but tougher forecasting, and the company has been explicit that room-rate growth should moderate in the second half.</w:t>
      </w:r>
    </w:p>
    <w:bookmarkEnd w:id="16"/>
    <w:bookmarkStart w:id="20" w:name="X569fcd13fc222dd7cbd09640012ea3564dde0ce"/>
    <w:p>
      <w:pPr>
        <w:pStyle w:val="Heading3"/>
      </w:pPr>
      <w:r>
        <w:t xml:space="preserve">4. Maui, San Francisco and group demand</w:t>
      </w:r>
    </w:p>
    <w:bookmarkStart w:id="17" w:name="maui"/>
    <w:p>
      <w:pPr>
        <w:pStyle w:val="Heading4"/>
      </w:pPr>
      <w:r>
        <w:t xml:space="preserve">Maui</w:t>
      </w:r>
    </w:p>
    <w:p>
      <w:pPr>
        <w:pStyle w:val="FirstParagraph"/>
      </w:pPr>
      <w:r>
        <w:t xml:space="preserve">Maui remains one of the most important swing factors. Host maintained its expectation for approximately</w:t>
      </w:r>
      <w:r>
        <w:t xml:space="preserve"> </w:t>
      </w:r>
      <w:r>
        <w:rPr>
          <w:b/>
          <w:bCs/>
        </w:rPr>
        <w:t xml:space="preserve">$120 million of Maui EBITDA in 2026</w:t>
      </w:r>
      <w:r>
        <w:t xml:space="preserve">, which management said would require close to</w:t>
      </w:r>
      <w:r>
        <w:t xml:space="preserve"> </w:t>
      </w:r>
      <w:r>
        <w:rPr>
          <w:b/>
          <w:bCs/>
        </w:rPr>
        <w:t xml:space="preserve">9% full-year RevPAR growth</w:t>
      </w:r>
      <w:r>
        <w:t xml:space="preserve">. Q1 was disrupted by the Kona Low rainstorm, but management reported strong rebookings and improving airline capacity.</w:t>
      </w:r>
    </w:p>
    <w:p>
      <w:pPr>
        <w:pStyle w:val="BodyText"/>
      </w:pPr>
      <w:r>
        <w:t xml:space="preserve">Q2 should reveal whether those rebookings converted into actual stays. Investors should listen for:</w:t>
      </w:r>
    </w:p>
    <w:p>
      <w:pPr>
        <w:pStyle w:val="Compact"/>
        <w:numPr>
          <w:ilvl w:val="0"/>
          <w:numId w:val="1004"/>
        </w:numPr>
      </w:pPr>
      <w:r>
        <w:t xml:space="preserve">Maui RevPAR and EBITDA growth;</w:t>
      </w:r>
    </w:p>
    <w:p>
      <w:pPr>
        <w:pStyle w:val="Compact"/>
        <w:numPr>
          <w:ilvl w:val="0"/>
          <w:numId w:val="1004"/>
        </w:numPr>
      </w:pPr>
      <w:r>
        <w:t xml:space="preserve">confidence in the $120 million target;</w:t>
      </w:r>
    </w:p>
    <w:p>
      <w:pPr>
        <w:pStyle w:val="Compact"/>
        <w:numPr>
          <w:ilvl w:val="0"/>
          <w:numId w:val="1004"/>
        </w:numPr>
      </w:pPr>
      <w:r>
        <w:t xml:space="preserve">fourth-quarter group pace, previously up nearly 20%;</w:t>
      </w:r>
    </w:p>
    <w:p>
      <w:pPr>
        <w:pStyle w:val="Compact"/>
        <w:numPr>
          <w:ilvl w:val="0"/>
          <w:numId w:val="1004"/>
        </w:numPr>
      </w:pPr>
      <w:r>
        <w:t xml:space="preserve">insurance recoveries and reconstruction costs.</w:t>
      </w:r>
    </w:p>
    <w:bookmarkEnd w:id="17"/>
    <w:bookmarkStart w:id="18" w:name="san-francisco"/>
    <w:p>
      <w:pPr>
        <w:pStyle w:val="Heading4"/>
      </w:pPr>
      <w:r>
        <w:t xml:space="preserve">San Francisco</w:t>
      </w:r>
    </w:p>
    <w:p>
      <w:pPr>
        <w:pStyle w:val="FirstParagraph"/>
      </w:pPr>
      <w:r>
        <w:t xml:space="preserve">San Francisco produced 26% RevPAR growth and more than 70% EBITDA growth in Q1, partly because of the Super Bowl but also because of an improving underlying market. Q2 should offer a cleaner test of the recovery.</w:t>
      </w:r>
    </w:p>
    <w:p>
      <w:pPr>
        <w:pStyle w:val="BodyText"/>
      </w:pPr>
      <w:r>
        <w:t xml:space="preserve">Continued double-digit growth would support management’s view that AI-related corporate activity, improving office fundamentals and stronger group demand are producing a durable recovery rather than a one-event surge.</w:t>
      </w:r>
    </w:p>
    <w:bookmarkEnd w:id="18"/>
    <w:bookmarkStart w:id="19" w:name="group-business"/>
    <w:p>
      <w:pPr>
        <w:pStyle w:val="Heading4"/>
      </w:pPr>
      <w:r>
        <w:t xml:space="preserve">Group business</w:t>
      </w:r>
    </w:p>
    <w:p>
      <w:pPr>
        <w:pStyle w:val="FirstParagraph"/>
      </w:pPr>
      <w:r>
        <w:t xml:space="preserve">At the end of Q1, Host had</w:t>
      </w:r>
      <w:r>
        <w:t xml:space="preserve"> </w:t>
      </w:r>
      <w:r>
        <w:rPr>
          <w:b/>
          <w:bCs/>
        </w:rPr>
        <w:t xml:space="preserve">3.5 million definite 2026 group room nights</w:t>
      </w:r>
      <w:r>
        <w:t xml:space="preserve"> </w:t>
      </w:r>
      <w:r>
        <w:t xml:space="preserve">on the books, with total group revenue pace up almost 4%. Q2 and Q4 pace was running in the high single digits.</w:t>
      </w:r>
    </w:p>
    <w:p>
      <w:pPr>
        <w:pStyle w:val="BodyText"/>
      </w:pPr>
      <w:r>
        <w:t xml:space="preserve">Watch for:</w:t>
      </w:r>
    </w:p>
    <w:p>
      <w:pPr>
        <w:pStyle w:val="Compact"/>
        <w:numPr>
          <w:ilvl w:val="0"/>
          <w:numId w:val="1005"/>
        </w:numPr>
      </w:pPr>
      <w:r>
        <w:t xml:space="preserve">in-the-quarter-for-the-quarter booking activity;</w:t>
      </w:r>
    </w:p>
    <w:p>
      <w:pPr>
        <w:pStyle w:val="Compact"/>
        <w:numPr>
          <w:ilvl w:val="0"/>
          <w:numId w:val="1005"/>
        </w:numPr>
      </w:pPr>
      <w:r>
        <w:t xml:space="preserve">2027 group pace;</w:t>
      </w:r>
    </w:p>
    <w:p>
      <w:pPr>
        <w:pStyle w:val="Compact"/>
        <w:numPr>
          <w:ilvl w:val="0"/>
          <w:numId w:val="1005"/>
        </w:numPr>
      </w:pPr>
      <w:r>
        <w:t xml:space="preserve">banquet and catering spend per group room night;</w:t>
      </w:r>
    </w:p>
    <w:p>
      <w:pPr>
        <w:pStyle w:val="Compact"/>
        <w:numPr>
          <w:ilvl w:val="0"/>
          <w:numId w:val="1005"/>
        </w:numPr>
      </w:pPr>
      <w:r>
        <w:t xml:space="preserve">whether corporate group demand is broadening beyond associations and incentive travel.</w:t>
      </w:r>
    </w:p>
    <w:bookmarkEnd w:id="19"/>
    <w:bookmarkEnd w:id="20"/>
    <w:bookmarkStart w:id="21" w:name="X8c5206a2a4808b772c482e9120f73ba90792af7"/>
    <w:p>
      <w:pPr>
        <w:pStyle w:val="Heading3"/>
      </w:pPr>
      <w:r>
        <w:t xml:space="preserve">5. Capital allocation after the Four Seasons sales</w:t>
      </w:r>
    </w:p>
    <w:p>
      <w:pPr>
        <w:pStyle w:val="FirstParagraph"/>
      </w:pPr>
      <w:r>
        <w:t xml:space="preserve">Host completed approximately</w:t>
      </w:r>
      <w:r>
        <w:t xml:space="preserve"> </w:t>
      </w:r>
      <m:oMath>
        <m:r>
          <m:t>1.1</m:t>
        </m:r>
        <m:r>
          <m:t>b</m:t>
        </m:r>
        <m:r>
          <m:t>i</m:t>
        </m:r>
        <m:r>
          <m:t>l</m:t>
        </m:r>
        <m:r>
          <m:t>l</m:t>
        </m:r>
        <m:r>
          <m:t>i</m:t>
        </m:r>
        <m:r>
          <m:t>o</m:t>
        </m:r>
        <m:r>
          <m:t>n</m:t>
        </m:r>
        <m:r>
          <m:rPr>
            <m:sty m:val="p"/>
          </m:rPr>
          <m:t>*</m:t>
        </m:r>
        <m:r>
          <m:rPr>
            <m:sty m:val="p"/>
          </m:rPr>
          <m:t>*</m:t>
        </m:r>
        <m:r>
          <m:t>o</m:t>
        </m:r>
        <m:r>
          <m:t>f</m:t>
        </m:r>
        <m:r>
          <m:t>F</m:t>
        </m:r>
        <m:r>
          <m:t>o</m:t>
        </m:r>
        <m:r>
          <m:t>u</m:t>
        </m:r>
        <m:r>
          <m:t>r</m:t>
        </m:r>
        <m:r>
          <m:t>S</m:t>
        </m:r>
        <m:r>
          <m:t>e</m:t>
        </m:r>
        <m:r>
          <m:t>a</m:t>
        </m:r>
        <m:r>
          <m:t>s</m:t>
        </m:r>
        <m:r>
          <m:t>o</m:t>
        </m:r>
        <m:r>
          <m:t>n</m:t>
        </m:r>
        <m:r>
          <m:t>s</m:t>
        </m:r>
        <m:r>
          <m:t>a</m:t>
        </m:r>
        <m:r>
          <m:t>s</m:t>
        </m:r>
        <m:r>
          <m:t>s</m:t>
        </m:r>
        <m:r>
          <m:t>e</m:t>
        </m:r>
        <m:r>
          <m:t>t</m:t>
        </m:r>
        <m:r>
          <m:t>s</m:t>
        </m:r>
        <m:r>
          <m:t>a</m:t>
        </m:r>
        <m:r>
          <m:t>l</m:t>
        </m:r>
        <m:r>
          <m:t>e</m:t>
        </m:r>
        <m:r>
          <m:t>s</m:t>
        </m:r>
        <m:r>
          <m:t>i</m:t>
        </m:r>
        <m:r>
          <m:t>n</m:t>
        </m:r>
        <m:r>
          <m:t>Q</m:t>
        </m:r>
        <m:r>
          <m:t>1</m:t>
        </m:r>
        <m:r>
          <m:t>a</m:t>
        </m:r>
        <m:r>
          <m:t>n</m:t>
        </m:r>
        <m:r>
          <m:t>d</m:t>
        </m:r>
        <m:r>
          <m:t>d</m:t>
        </m:r>
        <m:r>
          <m:t>i</m:t>
        </m:r>
        <m:r>
          <m:t>s</m:t>
        </m:r>
        <m:r>
          <m:t>t</m:t>
        </m:r>
        <m:r>
          <m:t>r</m:t>
        </m:r>
        <m:r>
          <m:t>i</m:t>
        </m:r>
        <m:r>
          <m:t>b</m:t>
        </m:r>
        <m:r>
          <m:t>u</m:t>
        </m:r>
        <m:r>
          <m:t>t</m:t>
        </m:r>
        <m:r>
          <m:t>e</m:t>
        </m:r>
        <m:r>
          <m:t>d</m:t>
        </m:r>
        <m:r>
          <m:t>m</m:t>
        </m:r>
        <m:r>
          <m:t>u</m:t>
        </m:r>
        <m:r>
          <m:t>c</m:t>
        </m:r>
        <m:r>
          <m:t>h</m:t>
        </m:r>
        <m:r>
          <m:t>o</m:t>
        </m:r>
        <m:r>
          <m:t>f</m:t>
        </m:r>
        <m:r>
          <m:t>t</m:t>
        </m:r>
        <m:r>
          <m:t>h</m:t>
        </m:r>
        <m:r>
          <m:t>e</m:t>
        </m:r>
        <m:r>
          <m:t>t</m:t>
        </m:r>
        <m:r>
          <m:t>a</m:t>
        </m:r>
        <m:r>
          <m:t>x</m:t>
        </m:r>
        <m:r>
          <m:t>a</m:t>
        </m:r>
        <m:r>
          <m:t>b</m:t>
        </m:r>
        <m:r>
          <m:t>l</m:t>
        </m:r>
        <m:r>
          <m:t>e</m:t>
        </m:r>
        <m:r>
          <m:t>g</m:t>
        </m:r>
        <m:r>
          <m:t>a</m:t>
        </m:r>
        <m:r>
          <m:t>i</m:t>
        </m:r>
        <m:r>
          <m:t>n</m:t>
        </m:r>
        <m:r>
          <m:t>t</m:t>
        </m:r>
        <m:r>
          <m:t>h</m:t>
        </m:r>
        <m:r>
          <m:t>r</m:t>
        </m:r>
        <m:r>
          <m:t>o</m:t>
        </m:r>
        <m:r>
          <m:t>u</m:t>
        </m:r>
        <m:r>
          <m:t>g</m:t>
        </m:r>
        <m:r>
          <m:t>h</m:t>
        </m:r>
        <m:r>
          <m:t>a</m:t>
        </m:r>
        <m:r>
          <m:rPr>
            <m:sty m:val="p"/>
          </m:rPr>
          <m:t>*</m:t>
        </m:r>
        <m:r>
          <m:rPr>
            <m:sty m:val="p"/>
          </m:rPr>
          <m:t>*</m:t>
        </m:r>
      </m:oMath>
      <w:r>
        <w:rPr>
          <w:b/>
          <w:bCs/>
        </w:rPr>
        <w:t xml:space="preserve">0.72 special dividend</w:t>
      </w:r>
      <w:r>
        <w:t xml:space="preserve">, in addition to its regular $0.20 quarterly dividend. The payout reduced liquidity by roughly $770 million but still left pro forma leverage around 2.5 times.</w:t>
      </w:r>
    </w:p>
    <w:p>
      <w:pPr>
        <w:pStyle w:val="BodyText"/>
      </w:pPr>
      <w:r>
        <w:t xml:space="preserve">At March 31, Host had</w:t>
      </w:r>
      <w:r>
        <w:t xml:space="preserve"> </w:t>
      </w:r>
      <m:oMath>
        <m:r>
          <m:t>405</m:t>
        </m:r>
        <m:r>
          <m:t>m</m:t>
        </m:r>
        <m:r>
          <m:t>i</m:t>
        </m:r>
        <m:r>
          <m:t>l</m:t>
        </m:r>
        <m:r>
          <m:t>l</m:t>
        </m:r>
        <m:r>
          <m:t>i</m:t>
        </m:r>
        <m:r>
          <m:t>o</m:t>
        </m:r>
        <m:r>
          <m:t>n</m:t>
        </m:r>
        <m:r>
          <m:rPr>
            <m:sty m:val="p"/>
          </m:rPr>
          <m:t>*</m:t>
        </m:r>
        <m:r>
          <m:rPr>
            <m:sty m:val="p"/>
          </m:rPr>
          <m:t>*</m:t>
        </m:r>
        <m:r>
          <m:t>r</m:t>
        </m:r>
        <m:r>
          <m:t>e</m:t>
        </m:r>
        <m:r>
          <m:t>m</m:t>
        </m:r>
        <m:r>
          <m:t>a</m:t>
        </m:r>
        <m:r>
          <m:t>i</m:t>
        </m:r>
        <m:r>
          <m:t>n</m:t>
        </m:r>
        <m:r>
          <m:t>i</m:t>
        </m:r>
        <m:r>
          <m:t>n</m:t>
        </m:r>
        <m:r>
          <m:t>g</m:t>
        </m:r>
        <m:r>
          <m:t>u</m:t>
        </m:r>
        <m:r>
          <m:t>n</m:t>
        </m:r>
        <m:r>
          <m:t>d</m:t>
        </m:r>
        <m:r>
          <m:t>e</m:t>
        </m:r>
        <m:r>
          <m:t>r</m:t>
        </m:r>
        <m:r>
          <m:t>i</m:t>
        </m:r>
        <m:r>
          <m:t>t</m:t>
        </m:r>
        <m:r>
          <m:t>s</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t>H</m:t>
        </m:r>
        <m:r>
          <m:t>o</m:t>
        </m:r>
        <m:r>
          <m:t>w</m:t>
        </m:r>
        <m:r>
          <m:t>e</m:t>
        </m:r>
        <m:r>
          <m:t>v</m:t>
        </m:r>
        <m:r>
          <m:t>e</m:t>
        </m:r>
        <m:r>
          <m:t>r</m:t>
        </m:r>
        <m:r>
          <m:rPr>
            <m:sty m:val="p"/>
          </m:rPr>
          <m:t>,</m:t>
        </m:r>
        <m:r>
          <m:t>t</m:t>
        </m:r>
        <m:r>
          <m:t>h</m:t>
        </m:r>
        <m:r>
          <m:t>e</m:t>
        </m:r>
        <m:r>
          <m:t>s</m:t>
        </m:r>
        <m:r>
          <m:t>h</m:t>
        </m:r>
        <m:r>
          <m:t>a</m:t>
        </m:r>
        <m:r>
          <m:t>r</m:t>
        </m:r>
        <m:r>
          <m:t>e</m:t>
        </m:r>
        <m:r>
          <m:t>s</m:t>
        </m:r>
        <m:r>
          <m:t>n</m:t>
        </m:r>
        <m:r>
          <m:t>o</m:t>
        </m:r>
        <m:r>
          <m:t>w</m:t>
        </m:r>
        <m:r>
          <m:t>t</m:t>
        </m:r>
        <m:r>
          <m:t>r</m:t>
        </m:r>
        <m:r>
          <m:t>a</m:t>
        </m:r>
        <m:r>
          <m:t>d</m:t>
        </m:r>
        <m:r>
          <m:t>e</m:t>
        </m:r>
        <m:r>
          <m:t>w</m:t>
        </m:r>
        <m:r>
          <m:t>e</m:t>
        </m:r>
        <m:r>
          <m:t>l</m:t>
        </m:r>
        <m:r>
          <m:t>l</m:t>
        </m:r>
        <m:r>
          <m:t>a</m:t>
        </m:r>
        <m:r>
          <m:t>b</m:t>
        </m:r>
        <m:r>
          <m:t>o</m:t>
        </m:r>
        <m:r>
          <m:t>v</m:t>
        </m:r>
        <m:r>
          <m:t>e</m:t>
        </m:r>
        <m:r>
          <m:t>t</m:t>
        </m:r>
        <m:r>
          <m:t>h</m:t>
        </m:r>
        <m:r>
          <m:t>e</m:t>
        </m:r>
        <m:r>
          <m:rPr>
            <m:sty m:val="p"/>
          </m:rPr>
          <m:t>*</m:t>
        </m:r>
        <m:r>
          <m:rPr>
            <m:sty m:val="p"/>
          </m:rPr>
          <m:t>*</m:t>
        </m:r>
      </m:oMath>
      <w:r>
        <w:rPr>
          <w:b/>
          <w:bCs/>
        </w:rPr>
        <w:t xml:space="preserve">18.97 average price</w:t>
      </w:r>
      <w:r>
        <w:t xml:space="preserve"> </w:t>
      </w:r>
      <w:r>
        <w:t xml:space="preserve">paid for Q1 repurchases. Buybacks are therefore less obviously accretive than they were earlier in the year.</w:t>
      </w:r>
    </w:p>
    <w:p>
      <w:pPr>
        <w:pStyle w:val="BodyText"/>
      </w:pPr>
      <w:r>
        <w:t xml:space="preserve">Investors should look for:</w:t>
      </w:r>
    </w:p>
    <w:p>
      <w:pPr>
        <w:pStyle w:val="Compact"/>
        <w:numPr>
          <w:ilvl w:val="0"/>
          <w:numId w:val="1006"/>
        </w:numPr>
      </w:pPr>
      <w:r>
        <w:t xml:space="preserve">Q2 repurchase activity and the price paid;</w:t>
      </w:r>
    </w:p>
    <w:p>
      <w:pPr>
        <w:pStyle w:val="Compact"/>
        <w:numPr>
          <w:ilvl w:val="0"/>
          <w:numId w:val="1006"/>
        </w:numPr>
      </w:pPr>
      <w:r>
        <w:t xml:space="preserve">any change in management’s acquisition appetite;</w:t>
      </w:r>
    </w:p>
    <w:p>
      <w:pPr>
        <w:pStyle w:val="Compact"/>
        <w:numPr>
          <w:ilvl w:val="0"/>
          <w:numId w:val="1006"/>
        </w:numPr>
      </w:pPr>
      <w:r>
        <w:t xml:space="preserve">additional dispositions;</w:t>
      </w:r>
    </w:p>
    <w:p>
      <w:pPr>
        <w:pStyle w:val="Compact"/>
        <w:numPr>
          <w:ilvl w:val="0"/>
          <w:numId w:val="1006"/>
        </w:numPr>
      </w:pPr>
      <w:r>
        <w:t xml:space="preserve">progress on the Sheraton Parsippany sale;</w:t>
      </w:r>
    </w:p>
    <w:p>
      <w:pPr>
        <w:pStyle w:val="Compact"/>
        <w:numPr>
          <w:ilvl w:val="0"/>
          <w:numId w:val="1006"/>
        </w:numPr>
      </w:pPr>
      <w:r>
        <w:t xml:space="preserve">whether excess capital is being directed toward renovations instead of acquisitions.</w:t>
      </w:r>
    </w:p>
    <w:p>
      <w:pPr>
        <w:pStyle w:val="FirstParagraph"/>
      </w:pPr>
      <w:r>
        <w:t xml:space="preserve">Management previously described asking prices for acquisitions as high and risk-adjusted returns as unattractive. A major acquisition at today’s pricing would likely receive greater scrutiny than additional portfolio investment or disciplined repurchases.</w:t>
      </w:r>
    </w:p>
    <w:bookmarkEnd w:id="21"/>
    <w:bookmarkStart w:id="22" w:name="X12fe784a8d8fc9215e9acb6a017679ac12924ea"/>
    <w:p>
      <w:pPr>
        <w:pStyle w:val="Heading3"/>
      </w:pPr>
      <w:r>
        <w:t xml:space="preserve">6. Condo sales and renovation returns</w:t>
      </w:r>
    </w:p>
    <w:p>
      <w:pPr>
        <w:pStyle w:val="FirstParagraph"/>
      </w:pPr>
      <w:r>
        <w:t xml:space="preserve">Host expects</w:t>
      </w:r>
      <w:r>
        <w:t xml:space="preserve"> </w:t>
      </w:r>
      <m:oMath>
        <m:r>
          <m:t>20</m:t>
        </m:r>
        <m:r>
          <m:t>m</m:t>
        </m:r>
        <m:r>
          <m:t>i</m:t>
        </m:r>
        <m:r>
          <m:t>l</m:t>
        </m:r>
        <m:r>
          <m:t>l</m:t>
        </m:r>
        <m:r>
          <m:t>i</m:t>
        </m:r>
        <m:r>
          <m:t>o</m:t>
        </m:r>
        <m:r>
          <m:t>n</m:t>
        </m:r>
        <m:r>
          <m:rPr>
            <m:sty m:val="p"/>
          </m:rPr>
          <m:t>–</m:t>
        </m:r>
      </m:oMath>
      <w:r>
        <w:rPr>
          <w:b/>
          <w:bCs/>
        </w:rPr>
        <w:t xml:space="preserve">25 million</w:t>
      </w:r>
      <w:r>
        <w:t xml:space="preserve"> </w:t>
      </w:r>
      <w:r>
        <w:t xml:space="preserve">of 2026 net EBITDA from the Four Seasons Orlando condo development. At the end of Q1, 20 of 31 mid-rise units had closed, while total sales and deposits covered 28 of the project’s 40 units.</w:t>
      </w:r>
    </w:p>
    <w:p>
      <w:pPr>
        <w:pStyle w:val="BodyText"/>
      </w:pPr>
      <w:r>
        <w:t xml:space="preserve">The timing of condo closings can move quarterly EBITDA and FFO, so investors should distinguish this contribution from recurring hotel operations.</w:t>
      </w:r>
    </w:p>
    <w:p>
      <w:pPr>
        <w:pStyle w:val="BodyText"/>
      </w:pPr>
      <w:r>
        <w:t xml:space="preserve">Meanwhile, Host’s renovation thesis remains an important source of longer-term value:</w:t>
      </w:r>
    </w:p>
    <w:p>
      <w:pPr>
        <w:pStyle w:val="Compact"/>
        <w:numPr>
          <w:ilvl w:val="0"/>
          <w:numId w:val="1007"/>
        </w:numPr>
      </w:pPr>
      <w:r>
        <w:t xml:space="preserve">More than 80% of the Hyatt Transformational Capital Program was complete after Q1.</w:t>
      </w:r>
    </w:p>
    <w:p>
      <w:pPr>
        <w:pStyle w:val="Compact"/>
        <w:numPr>
          <w:ilvl w:val="0"/>
          <w:numId w:val="1007"/>
        </w:numPr>
      </w:pPr>
      <w:r>
        <w:t xml:space="preserve">The Manchester Grand Hyatt San Diego work is expected to be substantially complete by year-end.</w:t>
      </w:r>
    </w:p>
    <w:p>
      <w:pPr>
        <w:pStyle w:val="Compact"/>
        <w:numPr>
          <w:ilvl w:val="0"/>
          <w:numId w:val="1007"/>
        </w:numPr>
      </w:pPr>
      <w:r>
        <w:t xml:space="preserve">The second Marriott program is underway.</w:t>
      </w:r>
    </w:p>
    <w:p>
      <w:pPr>
        <w:pStyle w:val="Compact"/>
        <w:numPr>
          <w:ilvl w:val="0"/>
          <w:numId w:val="1007"/>
        </w:numPr>
      </w:pPr>
      <w:r>
        <w:t xml:space="preserve">Stabilized renovated assets had gained nearly nine points of RevPAR index share.</w:t>
      </w:r>
    </w:p>
    <w:p>
      <w:pPr>
        <w:pStyle w:val="Compact"/>
        <w:numPr>
          <w:ilvl w:val="0"/>
          <w:numId w:val="1007"/>
        </w:numPr>
      </w:pPr>
      <w:r>
        <w:t xml:space="preserve">Management continues to target mid-teens cash-on-cash returns on transformational investments.</w:t>
      </w:r>
    </w:p>
    <w:p>
      <w:pPr>
        <w:pStyle w:val="FirstParagraph"/>
      </w:pPr>
      <w:r>
        <w:t xml:space="preserve">Confirmation that these projects remain on time and under budget would reinforce the company’s internal-investment case.</w:t>
      </w:r>
    </w:p>
    <w:bookmarkEnd w:id="22"/>
    <w:bookmarkEnd w:id="23"/>
    <w:bookmarkStart w:id="25" w:name="a-reasonable-q2-scorecard"/>
    <w:p>
      <w:pPr>
        <w:pStyle w:val="Heading2"/>
      </w:pPr>
      <w:r>
        <w:t xml:space="preserve">A reasonable Q2 scorecard</w:t>
      </w:r>
    </w:p>
    <w:p>
      <w:pPr>
        <w:pStyle w:val="FirstParagraph"/>
      </w:pPr>
      <w:r>
        <w:t xml:space="preserve">These are analytical ranges rather than published consensus estimates: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Bearish</w:t>
            </w:r>
          </w:p>
        </w:tc>
        <w:tc>
          <w:tcPr/>
          <w:p>
            <w:pPr>
              <w:pStyle w:val="Compact"/>
              <w:jc w:val="right"/>
            </w:pPr>
            <w:r>
              <w:t xml:space="preserve">Base case</w:t>
            </w:r>
          </w:p>
        </w:tc>
        <w:tc>
          <w:tcPr/>
          <w:p>
            <w:pPr>
              <w:pStyle w:val="Compact"/>
              <w:jc w:val="right"/>
            </w:pPr>
            <w:r>
              <w:t xml:space="preserve">Bullish</w:t>
            </w:r>
          </w:p>
        </w:tc>
      </w:tr>
      <w:tr>
        <w:tc>
          <w:tcPr/>
          <w:p>
            <w:pPr>
              <w:pStyle w:val="Compact"/>
            </w:pPr>
            <w:r>
              <w:t xml:space="preserve">Comparable RevPAR growth</w:t>
            </w:r>
          </w:p>
        </w:tc>
        <w:tc>
          <w:tcPr/>
          <w:p>
            <w:pPr>
              <w:pStyle w:val="Compact"/>
              <w:jc w:val="right"/>
            </w:pPr>
            <w:r>
              <w:t xml:space="preserve">Below 4%</w:t>
            </w:r>
          </w:p>
        </w:tc>
        <w:tc>
          <w:tcPr/>
          <w:p>
            <w:pPr>
              <w:pStyle w:val="Compact"/>
              <w:jc w:val="right"/>
            </w:pPr>
            <w:r>
              <w:t xml:space="preserve">4%–6%</w:t>
            </w:r>
          </w:p>
        </w:tc>
        <w:tc>
          <w:tcPr/>
          <w:p>
            <w:pPr>
              <w:pStyle w:val="Compact"/>
              <w:jc w:val="right"/>
            </w:pPr>
            <w:r>
              <w:t xml:space="preserve">Above 6%</w:t>
            </w:r>
          </w:p>
        </w:tc>
      </w:tr>
      <w:tr>
        <w:tc>
          <w:tcPr/>
          <w:p>
            <w:pPr>
              <w:pStyle w:val="Compact"/>
            </w:pPr>
            <w:r>
              <w:t xml:space="preserve">Total RevPAR vs. room RevPAR</w:t>
            </w:r>
          </w:p>
        </w:tc>
        <w:tc>
          <w:tcPr/>
          <w:p>
            <w:pPr>
              <w:pStyle w:val="Compact"/>
              <w:jc w:val="right"/>
            </w:pPr>
            <w:r>
              <w:t xml:space="preserve">Lags</w:t>
            </w:r>
          </w:p>
        </w:tc>
        <w:tc>
          <w:tcPr/>
          <w:p>
            <w:pPr>
              <w:pStyle w:val="Compact"/>
              <w:jc w:val="right"/>
            </w:pPr>
            <w:r>
              <w:t xml:space="preserve">Similar/slightly higher</w:t>
            </w:r>
          </w:p>
        </w:tc>
        <w:tc>
          <w:tcPr/>
          <w:p>
            <w:pPr>
              <w:pStyle w:val="Compact"/>
              <w:jc w:val="right"/>
            </w:pPr>
            <w:r>
              <w:t xml:space="preserve">Meaningfully higher</w:t>
            </w:r>
          </w:p>
        </w:tc>
      </w:tr>
      <w:tr>
        <w:tc>
          <w:tcPr/>
          <w:p>
            <w:pPr>
              <w:pStyle w:val="Compact"/>
            </w:pPr>
            <w:r>
              <w:t xml:space="preserve">Comparable hotel EBITDA margin</w:t>
            </w:r>
          </w:p>
        </w:tc>
        <w:tc>
          <w:tcPr/>
          <w:p>
            <w:pPr>
              <w:pStyle w:val="Compact"/>
              <w:jc w:val="right"/>
            </w:pPr>
            <w:r>
              <w:t xml:space="preserve">Flat/down YoY</w:t>
            </w:r>
          </w:p>
        </w:tc>
        <w:tc>
          <w:tcPr/>
          <w:p>
            <w:pPr>
              <w:pStyle w:val="Compact"/>
              <w:jc w:val="right"/>
            </w:pPr>
            <w:r>
              <w:t xml:space="preserve">Modestly higher</w:t>
            </w:r>
          </w:p>
        </w:tc>
        <w:tc>
          <w:tcPr/>
          <w:p>
            <w:pPr>
              <w:pStyle w:val="Compact"/>
              <w:jc w:val="right"/>
            </w:pPr>
            <w:r>
              <w:t xml:space="preserve">Up 75+ bps</w:t>
            </w:r>
          </w:p>
        </w:tc>
      </w:tr>
      <w:tr>
        <w:tc>
          <w:tcPr/>
          <w:p>
            <w:pPr>
              <w:pStyle w:val="Compact"/>
            </w:pPr>
            <w:r>
              <w:t xml:space="preserve">Adjusted FFO/share</w:t>
            </w:r>
          </w:p>
        </w:tc>
        <w:tc>
          <w:tcPr/>
          <w:p>
            <w:pPr>
              <w:pStyle w:val="Compact"/>
              <w:jc w:val="right"/>
            </w:pPr>
            <w:r>
              <w:t xml:space="preserve">Below $0.58</w:t>
            </w:r>
          </w:p>
        </w:tc>
        <w:tc>
          <w:tcPr/>
          <w:p>
            <w:pPr>
              <w:pStyle w:val="Compact"/>
              <w:jc w:val="right"/>
            </w:pPr>
            <w:r>
              <w:t xml:space="preserve">Approximately</w:t>
            </w:r>
            <w:r>
              <w:t xml:space="preserve"> </w:t>
            </w:r>
            <m:oMath>
              <m:r>
                <m:t>0.59</m:t>
              </m:r>
              <m:r>
                <m:rPr>
                  <m:sty m:val="p"/>
                </m:rPr>
                <m:t>–</m:t>
              </m:r>
            </m:oMath>
            <w:r>
              <w:t xml:space="preserve">0.62</w:t>
            </w:r>
          </w:p>
        </w:tc>
        <w:tc>
          <w:tcPr/>
          <w:p>
            <w:pPr>
              <w:pStyle w:val="Compact"/>
              <w:jc w:val="right"/>
            </w:pPr>
            <w:r>
              <w:t xml:space="preserve">Above $0.62</w:t>
            </w:r>
          </w:p>
        </w:tc>
      </w:tr>
      <w:tr>
        <w:tc>
          <w:tcPr/>
          <w:p>
            <w:pPr>
              <w:pStyle w:val="Compact"/>
            </w:pPr>
            <w:r>
              <w:t xml:space="preserve">FY26 guidance</w:t>
            </w:r>
          </w:p>
        </w:tc>
        <w:tc>
          <w:tcPr/>
          <w:p>
            <w:pPr>
              <w:pStyle w:val="Compact"/>
              <w:jc w:val="right"/>
            </w:pPr>
            <w:r>
              <w:t xml:space="preserve">Maintained with caution</w:t>
            </w:r>
          </w:p>
        </w:tc>
        <w:tc>
          <w:tcPr/>
          <w:p>
            <w:pPr>
              <w:pStyle w:val="Compact"/>
              <w:jc w:val="right"/>
            </w:pPr>
            <w:r>
              <w:t xml:space="preserve">Narrowed higher/modest raise</w:t>
            </w:r>
          </w:p>
        </w:tc>
        <w:tc>
          <w:tcPr/>
          <w:p>
            <w:pPr>
              <w:pStyle w:val="Compact"/>
              <w:jc w:val="right"/>
            </w:pPr>
            <w:r>
              <w:t xml:space="preserve">Meaningful raise</w:t>
            </w:r>
          </w:p>
        </w:tc>
      </w:tr>
      <w:tr>
        <w:tc>
          <w:tcPr/>
          <w:p>
            <w:pPr>
              <w:pStyle w:val="Compact"/>
            </w:pPr>
            <w:r>
              <w:t xml:space="preserve">Likely interpretation</w:t>
            </w:r>
          </w:p>
        </w:tc>
        <w:tc>
          <w:tcPr/>
          <w:p>
            <w:pPr>
              <w:pStyle w:val="Compact"/>
              <w:jc w:val="right"/>
            </w:pPr>
            <w:r>
              <w:t xml:space="preserve">Event upside failed to convert</w:t>
            </w:r>
          </w:p>
        </w:tc>
        <w:tc>
          <w:tcPr/>
          <w:p>
            <w:pPr>
              <w:pStyle w:val="Compact"/>
              <w:jc w:val="right"/>
            </w:pPr>
            <w:r>
              <w:t xml:space="preserve">Healthy execution</w:t>
            </w:r>
          </w:p>
        </w:tc>
        <w:tc>
          <w:tcPr/>
          <w:p>
            <w:pPr>
              <w:pStyle w:val="Compact"/>
              <w:jc w:val="right"/>
            </w:pPr>
            <w:r>
              <w:t xml:space="preserve">Broad-based upside beyond events</w:t>
            </w:r>
          </w:p>
        </w:tc>
      </w:tr>
    </w:tbl>
    <w:p>
      <w:pPr>
        <w:pStyle w:val="BodyText"/>
      </w:pPr>
      <w:r>
        <w:t xml:space="preserve">The available GAAP EPS consensus is approximately</w:t>
      </w:r>
      <w:r>
        <w:t xml:space="preserve"> </w:t>
      </w:r>
      <w:r>
        <w:rPr>
          <w:b/>
          <w:bCs/>
        </w:rPr>
        <w:t xml:space="preserve">$0.34</w:t>
      </w:r>
      <w:r>
        <w:t xml:space="preserve">, versus $0.32 last year, but adjusted FFO, hotel EBITDA and RevPAR are more informative for a lodging REIT than GAAP EPS. (</w:t>
      </w:r>
      <w:hyperlink r:id="rId24">
        <w:r>
          <w:rPr>
            <w:rStyle w:val="Hyperlink"/>
          </w:rPr>
          <w:t xml:space="preserve">tipranks.com</w:t>
        </w:r>
      </w:hyperlink>
      <w:r>
        <w:t xml:space="preserve">)</w:t>
      </w:r>
    </w:p>
    <w:bookmarkEnd w:id="25"/>
    <w:bookmarkStart w:id="26" w:name="main-risks"/>
    <w:p>
      <w:pPr>
        <w:pStyle w:val="Heading2"/>
      </w:pPr>
      <w:r>
        <w:t xml:space="preserve">Main risks</w:t>
      </w:r>
    </w:p>
    <w:p>
      <w:pPr>
        <w:pStyle w:val="Compact"/>
        <w:numPr>
          <w:ilvl w:val="0"/>
          <w:numId w:val="1008"/>
        </w:numPr>
      </w:pPr>
      <w:r>
        <w:rPr>
          <w:b/>
          <w:bCs/>
        </w:rPr>
        <w:t xml:space="preserve">Elevated expectations:</w:t>
      </w:r>
      <w:r>
        <w:t xml:space="preserve"> </w:t>
      </w:r>
      <w:r>
        <w:t xml:space="preserve">The stock has rallied materially since Q1, reducing tolerance for an in-line result.</w:t>
      </w:r>
    </w:p>
    <w:p>
      <w:pPr>
        <w:pStyle w:val="Compact"/>
        <w:numPr>
          <w:ilvl w:val="0"/>
          <w:numId w:val="1008"/>
        </w:numPr>
      </w:pPr>
      <w:r>
        <w:rPr>
          <w:b/>
          <w:bCs/>
        </w:rPr>
        <w:t xml:space="preserve">Temporary event demand:</w:t>
      </w:r>
      <w:r>
        <w:t xml:space="preserve"> </w:t>
      </w:r>
      <w:r>
        <w:t xml:space="preserve">World Cup pricing may flatter Q2 without changing normalized earnings power.</w:t>
      </w:r>
    </w:p>
    <w:p>
      <w:pPr>
        <w:pStyle w:val="Compact"/>
        <w:numPr>
          <w:ilvl w:val="0"/>
          <w:numId w:val="1008"/>
        </w:numPr>
      </w:pPr>
      <w:r>
        <w:rPr>
          <w:b/>
          <w:bCs/>
        </w:rPr>
        <w:t xml:space="preserve">Second-half deceleration:</w:t>
      </w:r>
      <w:r>
        <w:t xml:space="preserve"> </w:t>
      </w:r>
      <w:r>
        <w:t xml:space="preserve">Current guidance already assumes lower rate growth after the first half.</w:t>
      </w:r>
    </w:p>
    <w:p>
      <w:pPr>
        <w:pStyle w:val="Compact"/>
        <w:numPr>
          <w:ilvl w:val="0"/>
          <w:numId w:val="1008"/>
        </w:numPr>
      </w:pPr>
      <w:r>
        <w:rPr>
          <w:b/>
          <w:bCs/>
        </w:rPr>
        <w:t xml:space="preserve">Labor pressure:</w:t>
      </w:r>
      <w:r>
        <w:t xml:space="preserve"> </w:t>
      </w:r>
      <w:r>
        <w:t xml:space="preserve">Approximately 5% wage inflation could limit margin flow-through.</w:t>
      </w:r>
    </w:p>
    <w:p>
      <w:pPr>
        <w:pStyle w:val="Compact"/>
        <w:numPr>
          <w:ilvl w:val="0"/>
          <w:numId w:val="1008"/>
        </w:numPr>
      </w:pPr>
      <w:r>
        <w:rPr>
          <w:b/>
          <w:bCs/>
        </w:rPr>
        <w:t xml:space="preserve">Maui execution:</w:t>
      </w:r>
      <w:r>
        <w:t xml:space="preserve"> </w:t>
      </w:r>
      <w:r>
        <w:t xml:space="preserve">The $120 million EBITDA target requires a substantial recovery.</w:t>
      </w:r>
    </w:p>
    <w:p>
      <w:pPr>
        <w:pStyle w:val="Compact"/>
        <w:numPr>
          <w:ilvl w:val="0"/>
          <w:numId w:val="1008"/>
        </w:numPr>
      </w:pPr>
      <w:r>
        <w:rPr>
          <w:b/>
          <w:bCs/>
        </w:rPr>
        <w:t xml:space="preserve">Portfolio shrinkage:</w:t>
      </w:r>
      <w:r>
        <w:t xml:space="preserve"> </w:t>
      </w:r>
      <w:r>
        <w:t xml:space="preserve">Recent asset sales improve portfolio quality but reduce reported revenue and EBITDA.</w:t>
      </w:r>
    </w:p>
    <w:p>
      <w:pPr>
        <w:pStyle w:val="Compact"/>
        <w:numPr>
          <w:ilvl w:val="0"/>
          <w:numId w:val="1008"/>
        </w:numPr>
      </w:pPr>
      <w:r>
        <w:rPr>
          <w:b/>
          <w:bCs/>
        </w:rPr>
        <w:t xml:space="preserve">Nonrecurring contributions:</w:t>
      </w:r>
      <w:r>
        <w:t xml:space="preserve"> </w:t>
      </w:r>
      <w:r>
        <w:t xml:space="preserve">Condo closings and insurance proceeds can obscure underlying hotel performance.</w:t>
      </w:r>
    </w:p>
    <w:p>
      <w:pPr>
        <w:pStyle w:val="Compact"/>
        <w:numPr>
          <w:ilvl w:val="0"/>
          <w:numId w:val="1008"/>
        </w:numPr>
      </w:pPr>
      <w:r>
        <w:rPr>
          <w:b/>
          <w:bCs/>
        </w:rPr>
        <w:t xml:space="preserve">Capital deployment:</w:t>
      </w:r>
      <w:r>
        <w:t xml:space="preserve"> </w:t>
      </w:r>
      <w:r>
        <w:t xml:space="preserve">With the shares at a higher price and acquisition cap rates still demanding, attractive uses of excess liquidity may be limited.</w:t>
      </w:r>
    </w:p>
    <w:bookmarkEnd w:id="26"/>
    <w:bookmarkStart w:id="27" w:name="questions-for-the-call"/>
    <w:p>
      <w:pPr>
        <w:pStyle w:val="Heading2"/>
      </w:pPr>
      <w:r>
        <w:t xml:space="preserve">Questions for the call</w:t>
      </w:r>
    </w:p>
    <w:p>
      <w:pPr>
        <w:pStyle w:val="Compact"/>
        <w:numPr>
          <w:ilvl w:val="0"/>
          <w:numId w:val="1009"/>
        </w:numPr>
      </w:pPr>
      <w:r>
        <w:t xml:space="preserve">How much did the World Cup contribute to Q2 RevPAR and EBITDA versus the original forecast?</w:t>
      </w:r>
    </w:p>
    <w:p>
      <w:pPr>
        <w:pStyle w:val="Compact"/>
        <w:numPr>
          <w:ilvl w:val="0"/>
          <w:numId w:val="1009"/>
        </w:numPr>
      </w:pPr>
      <w:r>
        <w:t xml:space="preserve">Did World Cup demand extend beyond host markets or displace ordinary demand?</w:t>
      </w:r>
    </w:p>
    <w:p>
      <w:pPr>
        <w:pStyle w:val="Compact"/>
        <w:numPr>
          <w:ilvl w:val="0"/>
          <w:numId w:val="1009"/>
        </w:numPr>
      </w:pPr>
      <w:r>
        <w:t xml:space="preserve">What are July RevPAR trends after the event?</w:t>
      </w:r>
    </w:p>
    <w:p>
      <w:pPr>
        <w:pStyle w:val="Compact"/>
        <w:numPr>
          <w:ilvl w:val="0"/>
          <w:numId w:val="1009"/>
        </w:numPr>
      </w:pPr>
      <w:r>
        <w:t xml:space="preserve">Is the company now tracking toward the high end of full-year RevPAR and margin guidance?</w:t>
      </w:r>
    </w:p>
    <w:p>
      <w:pPr>
        <w:pStyle w:val="Compact"/>
        <w:numPr>
          <w:ilvl w:val="0"/>
          <w:numId w:val="1009"/>
        </w:numPr>
      </w:pPr>
      <w:r>
        <w:t xml:space="preserve">What is the updated Maui RevPAR outlook, and is the $120 million EBITDA target intact?</w:t>
      </w:r>
    </w:p>
    <w:p>
      <w:pPr>
        <w:pStyle w:val="Compact"/>
        <w:numPr>
          <w:ilvl w:val="0"/>
          <w:numId w:val="1009"/>
        </w:numPr>
      </w:pPr>
      <w:r>
        <w:t xml:space="preserve">How much Q2 EBITDA came from condo closings, operating guarantees or insurance proceeds?</w:t>
      </w:r>
    </w:p>
    <w:p>
      <w:pPr>
        <w:pStyle w:val="Compact"/>
        <w:numPr>
          <w:ilvl w:val="0"/>
          <w:numId w:val="1009"/>
        </w:numPr>
      </w:pPr>
      <w:r>
        <w:t xml:space="preserve">Has short-term group booking activity improved since May?</w:t>
      </w:r>
    </w:p>
    <w:p>
      <w:pPr>
        <w:pStyle w:val="Compact"/>
        <w:numPr>
          <w:ilvl w:val="0"/>
          <w:numId w:val="1009"/>
        </w:numPr>
      </w:pPr>
      <w:r>
        <w:t xml:space="preserve">What is 2027 group revenue pace?</w:t>
      </w:r>
    </w:p>
    <w:p>
      <w:pPr>
        <w:pStyle w:val="Compact"/>
        <w:numPr>
          <w:ilvl w:val="0"/>
          <w:numId w:val="1009"/>
        </w:numPr>
      </w:pPr>
      <w:r>
        <w:t xml:space="preserve">Did Host repurchase shares above $20, and how does management assess buybacks near $25?</w:t>
      </w:r>
    </w:p>
    <w:p>
      <w:pPr>
        <w:pStyle w:val="Compact"/>
        <w:numPr>
          <w:ilvl w:val="0"/>
          <w:numId w:val="1009"/>
        </w:numPr>
      </w:pPr>
      <w:r>
        <w:t xml:space="preserve">Are acquisition pricing expectations beginning to moderate?</w:t>
      </w:r>
    </w:p>
    <w:bookmarkEnd w:id="27"/>
    <w:bookmarkStart w:id="28" w:name="bottom-line"/>
    <w:p>
      <w:pPr>
        <w:pStyle w:val="Heading2"/>
      </w:pPr>
      <w:r>
        <w:t xml:space="preserve">Bottom line</w:t>
      </w:r>
    </w:p>
    <w:p>
      <w:pPr>
        <w:pStyle w:val="FirstParagraph"/>
      </w:pPr>
      <w:r>
        <w:t xml:space="preserve">The fundamental setup is</w:t>
      </w:r>
      <w:r>
        <w:t xml:space="preserve"> </w:t>
      </w:r>
      <w:r>
        <w:rPr>
          <w:b/>
          <w:bCs/>
        </w:rPr>
        <w:t xml:space="preserve">constructive</w:t>
      </w:r>
      <w:r>
        <w:t xml:space="preserve">, with the best read-throughs coming from strong U.S. luxury, leisure and group performance at Marriott and Hyatt. Host should be positioned to deliver another quarter of mid-single-digit RevPAR growth with positive margin flow-through.</w:t>
      </w:r>
    </w:p>
    <w:p>
      <w:pPr>
        <w:pStyle w:val="BodyText"/>
      </w:pPr>
      <w:r>
        <w:t xml:space="preserve">However, the stock’s advance and the prior guidance increase mean the hurdle is no longer simply “beat Q2.” The report will be judged primarily on:</w:t>
      </w:r>
    </w:p>
    <w:p>
      <w:pPr>
        <w:pStyle w:val="Compact"/>
        <w:numPr>
          <w:ilvl w:val="0"/>
          <w:numId w:val="1010"/>
        </w:numPr>
      </w:pPr>
      <w:r>
        <w:t xml:space="preserve">whether RevPAR reaches roughly 5% or better;</w:t>
      </w:r>
    </w:p>
    <w:p>
      <w:pPr>
        <w:pStyle w:val="Compact"/>
        <w:numPr>
          <w:ilvl w:val="0"/>
          <w:numId w:val="1010"/>
        </w:numPr>
      </w:pPr>
      <w:r>
        <w:t xml:space="preserve">whether margins confirm strong ADR flow-through;</w:t>
      </w:r>
    </w:p>
    <w:p>
      <w:pPr>
        <w:pStyle w:val="Compact"/>
        <w:numPr>
          <w:ilvl w:val="0"/>
          <w:numId w:val="1010"/>
        </w:numPr>
      </w:pPr>
      <w:r>
        <w:t xml:space="preserve">whether Maui remains on plan; and</w:t>
      </w:r>
    </w:p>
    <w:p>
      <w:pPr>
        <w:pStyle w:val="Compact"/>
        <w:numPr>
          <w:ilvl w:val="0"/>
          <w:numId w:val="1010"/>
        </w:numPr>
      </w:pPr>
      <w:r>
        <w:t xml:space="preserve">whether management raises or meaningfully de-risks the upper half of full-year guidance.</w:t>
      </w:r>
    </w:p>
    <w:p>
      <w:pPr>
        <w:pStyle w:val="FirstParagraph"/>
      </w:pPr>
      <w:r>
        <w:t xml:space="preserve">A solid quarter with unchanged guidance may not be enough for further near-term upside. A combination of</w:t>
      </w:r>
      <w:r>
        <w:t xml:space="preserve"> </w:t>
      </w:r>
      <w:r>
        <w:rPr>
          <w:b/>
          <w:bCs/>
        </w:rPr>
        <w:t xml:space="preserve">5%+ RevPAR, clear margin expansion and higher full-year guidance</w:t>
      </w:r>
      <w:r>
        <w:t xml:space="preserve"> </w:t>
      </w:r>
      <w:r>
        <w:t xml:space="preserve">would be the strongest bullish outcome.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r.hosthotels.com/news-releases/news-release-details/host-hotels-resorts-inc-reports-results-first-quarter-2026?utm_source=openai" TargetMode="External" /><Relationship Type="http://schemas.openxmlformats.org/officeDocument/2006/relationships/hyperlink" Id="rId11" Target="https://www.hosthotels.com/Press-Releases/2026/PressRelease_28156?utm_source=openai" TargetMode="External" /><Relationship Type="http://schemas.openxmlformats.org/officeDocument/2006/relationships/hyperlink" Id="rId9" Target="https://www.hosthotels.com/Press-Releases/2026/PressRelease_28291?utm_source=openai" TargetMode="External" /><Relationship Type="http://schemas.openxmlformats.org/officeDocument/2006/relationships/hyperlink" Id="rId24" Target="https://www.tipranks.com/stocks/hst/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r.hosthotels.com/news-releases/news-release-details/host-hotels-resorts-inc-reports-results-first-quarter-2026?utm_source=openai" TargetMode="External" /><Relationship Type="http://schemas.openxmlformats.org/officeDocument/2006/relationships/hyperlink" Id="rId11" Target="https://www.hosthotels.com/Press-Releases/2026/PressRelease_28156?utm_source=openai" TargetMode="External" /><Relationship Type="http://schemas.openxmlformats.org/officeDocument/2006/relationships/hyperlink" Id="rId9" Target="https://www.hosthotels.com/Press-Releases/2026/PressRelease_28291?utm_source=openai" TargetMode="External" /><Relationship Type="http://schemas.openxmlformats.org/officeDocument/2006/relationships/hyperlink" Id="rId24" Target="https://www.tipranks.com/stocks/hst/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2026-08-05T01:34:42Z</dcterms:created>
  <dcterms:modified xsi:type="dcterms:W3CDTF">2026-08-05T01:34:42Z</dcterms:modified>
</cp:coreProperties>
</file>

<file path=docProps/custom.xml><?xml version="1.0" encoding="utf-8"?>
<Properties xmlns="http://schemas.openxmlformats.org/officeDocument/2006/custom-properties" xmlns:vt="http://schemas.openxmlformats.org/officeDocument/2006/docPropsVTypes"/>
</file>