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t-earnings-predictions--2026-08-05"/>
    <w:p>
      <w:pPr>
        <w:pStyle w:val="Heading1"/>
      </w:pPr>
      <w:r>
        <w:t xml:space="preserve">HST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~$0.62 vs. cons $0.60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hotel RevPAR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~5.1% vs. cons 4.6%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~$532M vs. cons $524M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hotel RevPAR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~3.75% midpoint vs. cons 3.8%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~$1.810B midpoint vs. cons $1.812B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FFO per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~$2.13 midpoint vs. cons $2.13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0.02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F</m:t>
              </m:r>
              <m:r>
                <m:t>F</m:t>
              </m:r>
              <m:r>
                <m:t>O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0.60 consensus and ~</w:t>
            </w:r>
            <m:oMath>
              <m:r>
                <m:t>8</m:t>
              </m:r>
              <m:r>
                <m:t>M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r</m:t>
              </m:r>
              <m:r>
                <m:t>e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524M consensus should support an initial positive reaction, but unchanged ~</w:t>
            </w:r>
            <m:oMath>
              <m:r>
                <m:t>2.13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F</m:t>
              </m:r>
              <m:r>
                <m:t>F</m:t>
              </m:r>
              <m:r>
                <m:t>O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2.13 consensus leaves limited out-period estimate upside after the World Cup-weighted quarter.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2026-08-05T01:32:53Z</dcterms:created>
  <dcterms:modified xsi:type="dcterms:W3CDTF">2026-08-05T01:32:53Z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