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b8c37fc70a56feb0d0774220ad9b6152e5e634"/>
    <w:p>
      <w:pPr>
        <w:pStyle w:val="Heading1"/>
      </w:pPr>
      <w:r>
        <w:t xml:space="preserve">Host Hotels &amp; Resorts (NASDAQ: HST) — 2Q26 Earnings Preview</w:t>
      </w:r>
    </w:p>
    <w:p>
      <w:pPr>
        <w:pStyle w:val="BlockText"/>
      </w:pPr>
      <w:r>
        <w:rPr>
          <w:b/>
          <w:bCs/>
        </w:rPr>
        <w:t xml:space="preserve">Timing note:</w:t>
      </w:r>
      <w:r>
        <w:t xml:space="preserve"> </w:t>
      </w:r>
      <w:r>
        <w:t xml:space="preserve">Today is</w:t>
      </w:r>
      <w:r>
        <w:t xml:space="preserve"> </w:t>
      </w:r>
      <w:r>
        <w:rPr>
          <w:b/>
          <w:bCs/>
        </w:rPr>
        <w:t xml:space="preserve">Wednesday, August 5, 2026</w:t>
      </w:r>
      <w:r>
        <w:t xml:space="preserve">. The stated event date—</w:t>
      </w:r>
      <w:r>
        <w:rPr>
          <w:b/>
          <w:bCs/>
        </w:rPr>
        <w:t xml:space="preserve">2026Q2 earnings call on August 5</w:t>
      </w:r>
      <w:r>
        <w:t xml:space="preserve">—is therefore</w:t>
      </w:r>
      <w:r>
        <w:t xml:space="preserve"> </w:t>
      </w:r>
      <w:r>
        <w:rPr>
          <w:b/>
          <w:bCs/>
        </w:rPr>
        <w:t xml:space="preserve">today, not tomorrow</w:t>
      </w:r>
      <w:r>
        <w:t xml:space="preserve">. This preview is based on information available before the 2Q release; no 2Q earnings release or transcript was available in the document database at the time of preparation.</w:t>
      </w:r>
    </w:p>
    <w:bookmarkStart w:id="9" w:name="investment-framing"/>
    <w:p>
      <w:pPr>
        <w:pStyle w:val="Heading2"/>
      </w:pPr>
      <w:r>
        <w:t xml:space="preserve">Investment framing</w:t>
      </w:r>
    </w:p>
    <w:p>
      <w:pPr>
        <w:pStyle w:val="FirstParagraph"/>
      </w:pPr>
      <w:r>
        <w:t xml:space="preserve">Host enters 2Q with operating momentum, a balance sheet that gives it unusual capital-allocation flexibility, and a quarter that should benefit meaningfully from special-event demand. The core question is not simply whether HST beats quarterly FFO: it is whether the company can demonstrate that</w:t>
      </w:r>
      <w:r>
        <w:t xml:space="preserve"> </w:t>
      </w:r>
      <w:r>
        <w:rPr>
          <w:b/>
          <w:bCs/>
        </w:rPr>
        <w:t xml:space="preserve">World Cup-driven demand, resilient luxury leisure, improving group trends, and recovering urban markets</w:t>
      </w:r>
      <w:r>
        <w:t xml:space="preserve"> </w:t>
      </w:r>
      <w:r>
        <w:t xml:space="preserve">are sufficient to support or raise its full-year RevPAR and EBITDA outlook after a strong 1Q.</w:t>
      </w:r>
    </w:p>
    <w:p>
      <w:pPr>
        <w:pStyle w:val="BodyText"/>
      </w:pPr>
      <w:r>
        <w:t xml:space="preserve">The setup is constructive but expectations are higher. HST closed at</w:t>
      </w:r>
      <w:r>
        <w:t xml:space="preserve"> </w:t>
      </w:r>
      <w:r>
        <w:rPr>
          <w:b/>
          <w:bCs/>
        </w:rPr>
        <w:t xml:space="preserve">$25.00 on August 4</w:t>
      </w:r>
      <w:r>
        <w:t xml:space="preserve">, up roughly</w:t>
      </w:r>
      <w:r>
        <w:t xml:space="preserve"> </w:t>
      </w:r>
      <w:r>
        <w:rPr>
          <w:b/>
          <w:bCs/>
        </w:rPr>
        <w:t xml:space="preserve">15% from $21.67 on May 7</w:t>
      </w:r>
      <w:r>
        <w:t xml:space="preserve">, the day of its prior earnings call. That performance suggests the market is already recognizing better operating trends, making the</w:t>
      </w:r>
      <w:r>
        <w:t xml:space="preserve"> </w:t>
      </w:r>
      <w:r>
        <w:rPr>
          <w:b/>
          <w:bCs/>
        </w:rPr>
        <w:t xml:space="preserve">quality and durability of guidance</w:t>
      </w:r>
      <w:r>
        <w:t xml:space="preserve"> </w:t>
      </w:r>
      <w:r>
        <w:t xml:space="preserve">more important than a modest 2Q headline beat.</w:t>
      </w:r>
    </w:p>
    <w:bookmarkEnd w:id="9"/>
    <w:bookmarkStart w:id="10" w:name="X399f875e25ba301bdbbad9b32bbc3d8063b786d"/>
    <w:p>
      <w:pPr>
        <w:pStyle w:val="Heading2"/>
      </w:pPr>
      <w:r>
        <w:t xml:space="preserve">What management has already told investors</w:t>
      </w:r>
    </w:p>
    <w:p>
      <w:pPr>
        <w:pStyle w:val="FirstParagraph"/>
      </w:pPr>
      <w:r>
        <w:t xml:space="preserve">In 1Q26, Host delivered: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result</w:t>
            </w:r>
          </w:p>
        </w:tc>
        <w:tc>
          <w:tcPr/>
          <w:p>
            <w:pPr>
              <w:pStyle w:val="Compact"/>
              <w:jc w:val="right"/>
            </w:pPr>
            <w:r>
              <w:t xml:space="preserve">YoY change</w:t>
            </w:r>
          </w:p>
        </w:tc>
      </w:tr>
      <w:tr>
        <w:tc>
          <w:tcPr/>
          <w:p>
            <w:pPr>
              <w:pStyle w:val="Compact"/>
            </w:pPr>
            <w:r>
              <w:t xml:space="preserve">Comparable hotel RevPAR</w:t>
            </w:r>
          </w:p>
        </w:tc>
        <w:tc>
          <w:tcPr/>
          <w:p>
            <w:pPr>
              <w:pStyle w:val="Compact"/>
              <w:jc w:val="right"/>
            </w:pPr>
            <w:r>
              <w:rPr>
                <w:b/>
                <w:bCs/>
              </w:rPr>
              <w:t xml:space="preserve">$244.11</w:t>
            </w:r>
          </w:p>
        </w:tc>
        <w:tc>
          <w:tcPr/>
          <w:p>
            <w:pPr>
              <w:pStyle w:val="Compact"/>
              <w:jc w:val="right"/>
            </w:pPr>
            <w:r>
              <w:rPr>
                <w:b/>
                <w:bCs/>
              </w:rPr>
              <w:t xml:space="preserve">+4.4%</w:t>
            </w:r>
          </w:p>
        </w:tc>
      </w:tr>
      <w:tr>
        <w:tc>
          <w:tcPr/>
          <w:p>
            <w:pPr>
              <w:pStyle w:val="Compact"/>
            </w:pPr>
            <w:r>
              <w:t xml:space="preserve">Comparable hotel Total RevPAR</w:t>
            </w:r>
          </w:p>
        </w:tc>
        <w:tc>
          <w:tcPr/>
          <w:p>
            <w:pPr>
              <w:pStyle w:val="Compact"/>
              <w:jc w:val="right"/>
            </w:pPr>
            <w:r>
              <w:rPr>
                <w:b/>
                <w:bCs/>
              </w:rPr>
              <w:t xml:space="preserve">$418.20</w:t>
            </w:r>
          </w:p>
        </w:tc>
        <w:tc>
          <w:tcPr/>
          <w:p>
            <w:pPr>
              <w:pStyle w:val="Compact"/>
              <w:jc w:val="right"/>
            </w:pPr>
            <w:r>
              <w:rPr>
                <w:b/>
                <w:bCs/>
              </w:rPr>
              <w:t xml:space="preserve">+4.6%</w:t>
            </w:r>
          </w:p>
        </w:tc>
      </w:tr>
      <w:tr>
        <w:tc>
          <w:tcPr/>
          <w:p>
            <w:pPr>
              <w:pStyle w:val="Compact"/>
            </w:pPr>
            <w:r>
              <w:t xml:space="preserve">Comparable hotel EBITDA</w:t>
            </w:r>
          </w:p>
        </w:tc>
        <w:tc>
          <w:tcPr/>
          <w:p>
            <w:pPr>
              <w:pStyle w:val="Compact"/>
              <w:jc w:val="right"/>
            </w:pPr>
            <w:r>
              <w:rPr>
                <w:b/>
                <w:bCs/>
              </w:rPr>
              <w:t xml:space="preserve">$505M</w:t>
            </w:r>
          </w:p>
        </w:tc>
        <w:tc>
          <w:tcPr/>
          <w:p>
            <w:pPr>
              <w:pStyle w:val="Compact"/>
              <w:jc w:val="right"/>
            </w:pPr>
            <w:r>
              <w:rPr>
                <w:b/>
                <w:bCs/>
              </w:rPr>
              <w:t xml:space="preserve">+7.0%</w:t>
            </w:r>
          </w:p>
        </w:tc>
      </w:tr>
      <w:tr>
        <w:tc>
          <w:tcPr/>
          <w:p>
            <w:pPr>
              <w:pStyle w:val="Compact"/>
            </w:pPr>
            <w:r>
              <w:t xml:space="preserve">Comparable hotel EBITDA margin</w:t>
            </w:r>
          </w:p>
        </w:tc>
        <w:tc>
          <w:tcPr/>
          <w:p>
            <w:pPr>
              <w:pStyle w:val="Compact"/>
              <w:jc w:val="right"/>
            </w:pPr>
            <w:r>
              <w:rPr>
                <w:b/>
                <w:bCs/>
              </w:rPr>
              <w:t xml:space="preserve">32.7%</w:t>
            </w:r>
          </w:p>
        </w:tc>
        <w:tc>
          <w:tcPr/>
          <w:p>
            <w:pPr>
              <w:pStyle w:val="Compact"/>
              <w:jc w:val="right"/>
            </w:pPr>
            <w:r>
              <w:rPr>
                <w:b/>
                <w:bCs/>
              </w:rPr>
              <w:t xml:space="preserve">+70 bps</w:t>
            </w:r>
          </w:p>
        </w:tc>
      </w:tr>
      <w:tr>
        <w:tc>
          <w:tcPr/>
          <w:p>
            <w:pPr>
              <w:pStyle w:val="Compact"/>
            </w:pPr>
            <w:r>
              <w:t xml:space="preserve">Adjusted EBITDAre</w:t>
            </w:r>
          </w:p>
        </w:tc>
        <w:tc>
          <w:tcPr/>
          <w:p>
            <w:pPr>
              <w:pStyle w:val="Compact"/>
              <w:jc w:val="right"/>
            </w:pPr>
            <w:r>
              <w:rPr>
                <w:b/>
                <w:bCs/>
              </w:rPr>
              <w:t xml:space="preserve">$543M</w:t>
            </w:r>
          </w:p>
        </w:tc>
        <w:tc>
          <w:tcPr/>
          <w:p>
            <w:pPr>
              <w:pStyle w:val="Compact"/>
              <w:jc w:val="right"/>
            </w:pPr>
            <w:r>
              <w:rPr>
                <w:b/>
                <w:bCs/>
              </w:rPr>
              <w:t xml:space="preserve">+5.6%</w:t>
            </w:r>
          </w:p>
        </w:tc>
      </w:tr>
      <w:tr>
        <w:tc>
          <w:tcPr/>
          <w:p>
            <w:pPr>
              <w:pStyle w:val="Compact"/>
            </w:pPr>
            <w:r>
              <w:t xml:space="preserve">Adjusted FFO/share</w:t>
            </w:r>
          </w:p>
        </w:tc>
        <w:tc>
          <w:tcPr/>
          <w:p>
            <w:pPr>
              <w:pStyle w:val="Compact"/>
              <w:jc w:val="right"/>
            </w:pPr>
            <w:r>
              <w:rPr>
                <w:b/>
                <w:bCs/>
              </w:rPr>
              <w:t xml:space="preserve">$0.67</w:t>
            </w:r>
          </w:p>
        </w:tc>
        <w:tc>
          <w:tcPr/>
          <w:p>
            <w:pPr>
              <w:pStyle w:val="Compact"/>
              <w:jc w:val="right"/>
            </w:pPr>
            <w:r>
              <w:rPr>
                <w:b/>
                <w:bCs/>
              </w:rPr>
              <w:t xml:space="preserve">+4.7%</w:t>
            </w:r>
          </w:p>
        </w:tc>
      </w:tr>
    </w:tbl>
    <w:p>
      <w:pPr>
        <w:pStyle w:val="BodyText"/>
      </w:pPr>
      <w:r>
        <w:t xml:space="preserve">The standout was the combination of</w:t>
      </w:r>
      <w:r>
        <w:t xml:space="preserve"> </w:t>
      </w:r>
      <w:r>
        <w:rPr>
          <w:b/>
          <w:bCs/>
        </w:rPr>
        <w:t xml:space="preserve">rate-led RevPAR growth</w:t>
      </w:r>
      <w:r>
        <w:t xml:space="preserve">, continued strength in food-and-beverage and ancillary revenue, and better labor productivity. Importantly, 1Q performance was achieved despite an estimated</w:t>
      </w:r>
      <w:r>
        <w:t xml:space="preserve"> </w:t>
      </w:r>
      <w:r>
        <w:rPr>
          <w:b/>
          <w:bCs/>
        </w:rPr>
        <w:t xml:space="preserve">120 bps weather-related RevPAR headwind</w:t>
      </w:r>
      <w:r>
        <w:t xml:space="preserve">, including Hawaii disruption from the Kona Low storm and East Coast winter weather.</w:t>
      </w:r>
    </w:p>
    <w:p>
      <w:pPr>
        <w:pStyle w:val="BodyText"/>
      </w:pPr>
      <w:r>
        <w:t xml:space="preserve">Following 1Q, Host raised full-year 2026 guidance: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2026 guidance</w:t>
            </w:r>
          </w:p>
        </w:tc>
        <w:tc>
          <w:tcPr/>
          <w:p>
            <w:pPr>
              <w:pStyle w:val="Compact"/>
              <w:jc w:val="right"/>
            </w:pPr>
            <w:r>
              <w:t xml:space="preserve">Current range</w:t>
            </w:r>
          </w:p>
        </w:tc>
        <w:tc>
          <w:tcPr/>
          <w:p>
            <w:pPr>
              <w:pStyle w:val="Compact"/>
              <w:jc w:val="right"/>
            </w:pPr>
            <w:r>
              <w:t xml:space="preserve">Midpoint</w:t>
            </w:r>
          </w:p>
        </w:tc>
      </w:tr>
      <w:tr>
        <w:tc>
          <w:tcPr/>
          <w:p>
            <w:pPr>
              <w:pStyle w:val="Compact"/>
            </w:pPr>
            <w:r>
              <w:t xml:space="preserve">Comparable hotel RevPAR growth</w:t>
            </w:r>
          </w:p>
        </w:tc>
        <w:tc>
          <w:tcPr/>
          <w:p>
            <w:pPr>
              <w:pStyle w:val="Compact"/>
              <w:jc w:val="right"/>
            </w:pPr>
            <w:r>
              <w:rPr>
                <w:b/>
                <w:bCs/>
              </w:rPr>
              <w:t xml:space="preserve">+3.0% to +4.5%</w:t>
            </w:r>
          </w:p>
        </w:tc>
        <w:tc>
          <w:tcPr/>
          <w:p>
            <w:pPr>
              <w:pStyle w:val="Compact"/>
              <w:jc w:val="right"/>
            </w:pPr>
            <w:r>
              <w:rPr>
                <w:b/>
                <w:bCs/>
              </w:rPr>
              <w:t xml:space="preserve">+3.75%</w:t>
            </w:r>
          </w:p>
        </w:tc>
      </w:tr>
      <w:tr>
        <w:tc>
          <w:tcPr/>
          <w:p>
            <w:pPr>
              <w:pStyle w:val="Compact"/>
            </w:pPr>
            <w:r>
              <w:t xml:space="preserve">Comparable hotel Total RevPAR growth</w:t>
            </w:r>
          </w:p>
        </w:tc>
        <w:tc>
          <w:tcPr/>
          <w:p>
            <w:pPr>
              <w:pStyle w:val="Compact"/>
              <w:jc w:val="right"/>
            </w:pPr>
            <w:r>
              <w:rPr>
                <w:b/>
                <w:bCs/>
              </w:rPr>
              <w:t xml:space="preserve">+3.5% to +5.0%</w:t>
            </w:r>
          </w:p>
        </w:tc>
        <w:tc>
          <w:tcPr/>
          <w:p>
            <w:pPr>
              <w:pStyle w:val="Compact"/>
              <w:jc w:val="right"/>
            </w:pPr>
            <w:r>
              <w:rPr>
                <w:b/>
                <w:bCs/>
              </w:rPr>
              <w:t xml:space="preserve">+4.25%</w:t>
            </w:r>
          </w:p>
        </w:tc>
      </w:tr>
      <w:tr>
        <w:tc>
          <w:tcPr/>
          <w:p>
            <w:pPr>
              <w:pStyle w:val="Compact"/>
            </w:pPr>
            <w:r>
              <w:t xml:space="preserve">Comparable hotel EBITDA-margin change</w:t>
            </w:r>
          </w:p>
        </w:tc>
        <w:tc>
          <w:tcPr/>
          <w:p>
            <w:pPr>
              <w:pStyle w:val="Compact"/>
              <w:jc w:val="right"/>
            </w:pPr>
            <w:r>
              <w:rPr>
                <w:b/>
                <w:bCs/>
              </w:rPr>
              <w:t xml:space="preserve">+20 to +50 bps</w:t>
            </w:r>
          </w:p>
        </w:tc>
        <w:tc>
          <w:tcPr/>
          <w:p>
            <w:pPr>
              <w:pStyle w:val="Compact"/>
              <w:jc w:val="right"/>
            </w:pPr>
            <w:r>
              <w:rPr>
                <w:b/>
                <w:bCs/>
              </w:rPr>
              <w:t xml:space="preserve">+30 bps</w:t>
            </w:r>
          </w:p>
        </w:tc>
      </w:tr>
      <w:tr>
        <w:tc>
          <w:tcPr/>
          <w:p>
            <w:pPr>
              <w:pStyle w:val="Compact"/>
            </w:pPr>
            <w:r>
              <w:t xml:space="preserve">Adjusted EBITDAre</w:t>
            </w:r>
          </w:p>
        </w:tc>
        <w:tc>
          <w:tcPr/>
          <w:p>
            <w:pPr>
              <w:pStyle w:val="Compact"/>
              <w:jc w:val="right"/>
            </w:pPr>
            <w:r>
              <w:rPr>
                <w:b/>
                <w:bCs/>
              </w:rPr>
              <w:t xml:space="preserve">$1.785B to $1.835B</w:t>
            </w:r>
          </w:p>
        </w:tc>
        <w:tc>
          <w:tcPr/>
          <w:p>
            <w:pPr>
              <w:pStyle w:val="Compact"/>
              <w:jc w:val="right"/>
            </w:pPr>
            <w:r>
              <w:rPr>
                <w:b/>
                <w:bCs/>
              </w:rPr>
              <w:t xml:space="preserve">$1.810B</w:t>
            </w:r>
          </w:p>
        </w:tc>
      </w:tr>
      <w:tr>
        <w:tc>
          <w:tcPr/>
          <w:p>
            <w:pPr>
              <w:pStyle w:val="Compact"/>
            </w:pPr>
            <w:r>
              <w:t xml:space="preserve">Adjusted FFO/share</w:t>
            </w:r>
          </w:p>
        </w:tc>
        <w:tc>
          <w:tcPr/>
          <w:p>
            <w:pPr>
              <w:pStyle w:val="Compact"/>
              <w:jc w:val="right"/>
            </w:pPr>
            <w:r>
              <w:rPr>
                <w:b/>
                <w:bCs/>
              </w:rPr>
              <w:t xml:space="preserve">$2.10 to $2.16</w:t>
            </w:r>
          </w:p>
        </w:tc>
        <w:tc>
          <w:tcPr/>
          <w:p>
            <w:pPr>
              <w:pStyle w:val="Compact"/>
              <w:jc w:val="right"/>
            </w:pPr>
            <w:r>
              <w:rPr>
                <w:b/>
                <w:bCs/>
              </w:rPr>
              <w:t xml:space="preserve">$2.13</w:t>
            </w:r>
          </w:p>
        </w:tc>
      </w:tr>
    </w:tbl>
    <w:p>
      <w:pPr>
        <w:pStyle w:val="BodyText"/>
      </w:pPr>
      <w:r>
        <w:t xml:space="preserve">Management specifically said 2Q RevPAR growth should be</w:t>
      </w:r>
      <w:r>
        <w:t xml:space="preserve"> </w:t>
      </w:r>
      <w:r>
        <w:rPr>
          <w:b/>
          <w:bCs/>
        </w:rPr>
        <w:t xml:space="preserve">similar to 1Q’s 4.4%</w:t>
      </w:r>
      <w:r>
        <w:t xml:space="preserve">, before moderating to low-single-digit growth in the second half. That makes this report a key test of the company’s raised outlook.</w:t>
      </w:r>
    </w:p>
    <w:bookmarkEnd w:id="10"/>
    <w:bookmarkStart w:id="11" w:name="X49e6dbb20eb6dde13974b59ee7e5b9d3c8089f2"/>
    <w:p>
      <w:pPr>
        <w:pStyle w:val="Heading2"/>
      </w:pPr>
      <w:r>
        <w:t xml:space="preserve">The central 2Q issue: Did World Cup demand materialize as planned?</w:t>
      </w:r>
    </w:p>
    <w:p>
      <w:pPr>
        <w:pStyle w:val="FirstParagraph"/>
      </w:pPr>
      <w:r>
        <w:t xml:space="preserve">The World Cup is the most important near-term swing factor. At the May call, Host expected a</w:t>
      </w:r>
      <w:r>
        <w:t xml:space="preserve"> </w:t>
      </w:r>
      <w:r>
        <w:rPr>
          <w:b/>
          <w:bCs/>
        </w:rPr>
        <w:t xml:space="preserve">60 bps gross benefit</w:t>
      </w:r>
      <w:r>
        <w:t xml:space="preserve"> </w:t>
      </w:r>
      <w:r>
        <w:t xml:space="preserve">to full-year RevPAR from the event—approximately</w:t>
      </w:r>
      <w:r>
        <w:t xml:space="preserve"> </w:t>
      </w:r>
      <w:r>
        <w:rPr>
          <w:b/>
          <w:bCs/>
        </w:rPr>
        <w:t xml:space="preserve">40 bps net</w:t>
      </w:r>
      <w:r>
        <w:t xml:space="preserve"> </w:t>
      </w:r>
      <w:r>
        <w:t xml:space="preserve">after offsetting the prior-year inaugural-event comparison—and said roughly</w:t>
      </w:r>
      <w:r>
        <w:t xml:space="preserve"> </w:t>
      </w:r>
      <w:r>
        <w:rPr>
          <w:b/>
          <w:bCs/>
        </w:rPr>
        <w:t xml:space="preserve">two-thirds of the benefit should land in 2Q</w:t>
      </w:r>
      <w:r>
        <w:t xml:space="preserve">, with the remainder in 3Q.</w:t>
      </w:r>
    </w:p>
    <w:p>
      <w:pPr>
        <w:pStyle w:val="BodyText"/>
      </w:pPr>
      <w:r>
        <w:t xml:space="preserve">Host’s exposure is meaningful: it has hotels in</w:t>
      </w:r>
      <w:r>
        <w:t xml:space="preserve"> </w:t>
      </w:r>
      <w:r>
        <w:rPr>
          <w:b/>
          <w:bCs/>
        </w:rPr>
        <w:t xml:space="preserve">10 World Cup markets</w:t>
      </w:r>
      <w:r>
        <w:t xml:space="preserve">, with New York and Miami particularly notable. Management emphasized that World Cup demand is overwhelmingly a</w:t>
      </w:r>
      <w:r>
        <w:t xml:space="preserve"> </w:t>
      </w:r>
      <w:r>
        <w:rPr>
          <w:b/>
          <w:bCs/>
        </w:rPr>
        <w:t xml:space="preserve">short-window transient booking phenomenon</w:t>
      </w:r>
      <w:r>
        <w:t xml:space="preserve">, rather than a group-driven event. Therefore, the release should answer three related questions:</w:t>
      </w:r>
    </w:p>
    <w:p>
      <w:pPr>
        <w:pStyle w:val="Compact"/>
        <w:numPr>
          <w:ilvl w:val="0"/>
          <w:numId w:val="1001"/>
        </w:numPr>
      </w:pPr>
      <w:r>
        <w:rPr>
          <w:b/>
          <w:bCs/>
        </w:rPr>
        <w:t xml:space="preserve">How much incremental occupancy and ADR did the World Cup actually produce?</w:t>
      </w:r>
    </w:p>
    <w:p>
      <w:pPr>
        <w:pStyle w:val="Compact"/>
        <w:numPr>
          <w:ilvl w:val="0"/>
          <w:numId w:val="1001"/>
        </w:numPr>
      </w:pPr>
      <w:r>
        <w:rPr>
          <w:b/>
          <w:bCs/>
        </w:rPr>
        <w:t xml:space="preserve">Did the event drive displacement and rate gains, or merely fill rooms that would otherwise have sold?</w:t>
      </w:r>
    </w:p>
    <w:p>
      <w:pPr>
        <w:pStyle w:val="Compact"/>
        <w:numPr>
          <w:ilvl w:val="0"/>
          <w:numId w:val="1001"/>
        </w:numPr>
      </w:pPr>
      <w:r>
        <w:rPr>
          <w:b/>
          <w:bCs/>
        </w:rPr>
        <w:t xml:space="preserve">Did elevated room demand translate into higher food-and-beverage, outlet, spa, golf, and other ancillary spend?</w:t>
      </w:r>
    </w:p>
    <w:p>
      <w:pPr>
        <w:pStyle w:val="FirstParagraph"/>
      </w:pPr>
      <w:r>
        <w:t xml:space="preserve">A result consistent with the prior 60 bps gross benefit would validate the raised guide. A weaker-than-expected realization would not necessarily damage the year, but it would make the company’s 2H low-single-digit RevPAR outlook more consequential.</w:t>
      </w:r>
    </w:p>
    <w:bookmarkEnd w:id="11"/>
    <w:bookmarkStart w:id="17" w:name="key-operating-indicators-to-watch"/>
    <w:p>
      <w:pPr>
        <w:pStyle w:val="Heading2"/>
      </w:pPr>
      <w:r>
        <w:t xml:space="preserve">Key operating indicators to watch</w:t>
      </w:r>
    </w:p>
    <w:bookmarkStart w:id="12" w:name="Xb8bc784248ed0aa613c00f714ad92560eaba160"/>
    <w:p>
      <w:pPr>
        <w:pStyle w:val="Heading3"/>
      </w:pPr>
      <w:r>
        <w:t xml:space="preserve">1. RevPAR growth: rate versus occupancy</w:t>
      </w:r>
    </w:p>
    <w:p>
      <w:pPr>
        <w:pStyle w:val="FirstParagraph"/>
      </w:pPr>
      <w:r>
        <w:t xml:space="preserve">In 1Q, HST generated RevPAR growth primarily through rate, while occupancy increased modestly. For the balance of 2026, management expected occupancy to contribute roughly 70–80 bps, with rate growth moderating in the second half.</w:t>
      </w:r>
    </w:p>
    <w:p>
      <w:pPr>
        <w:pStyle w:val="BodyText"/>
      </w:pPr>
      <w:r>
        <w:t xml:space="preserve">For 2Q, investors should focus on:</w:t>
      </w:r>
    </w:p>
    <w:p>
      <w:pPr>
        <w:pStyle w:val="Compact"/>
        <w:numPr>
          <w:ilvl w:val="0"/>
          <w:numId w:val="1002"/>
        </w:numPr>
      </w:pPr>
      <w:r>
        <w:t xml:space="preserve">Whether RevPAR growth is at or above the roughly</w:t>
      </w:r>
      <w:r>
        <w:t xml:space="preserve"> </w:t>
      </w:r>
      <w:r>
        <w:rPr>
          <w:b/>
          <w:bCs/>
        </w:rPr>
        <w:t xml:space="preserve">4.4%</w:t>
      </w:r>
      <w:r>
        <w:t xml:space="preserve"> </w:t>
      </w:r>
      <w:r>
        <w:t xml:space="preserve">cadence indicated in May.</w:t>
      </w:r>
    </w:p>
    <w:p>
      <w:pPr>
        <w:pStyle w:val="Compact"/>
        <w:numPr>
          <w:ilvl w:val="0"/>
          <w:numId w:val="1002"/>
        </w:numPr>
      </w:pPr>
      <w:r>
        <w:t xml:space="preserve">The mix of</w:t>
      </w:r>
      <w:r>
        <w:t xml:space="preserve"> </w:t>
      </w:r>
      <w:r>
        <w:rPr>
          <w:b/>
          <w:bCs/>
        </w:rPr>
        <w:t xml:space="preserve">ADR growth versus occupancy</w:t>
      </w:r>
      <w:r>
        <w:t xml:space="preserve">. A broad occupancy gain would be more encouraging for the durability of demand than event-driven ADR alone.</w:t>
      </w:r>
    </w:p>
    <w:p>
      <w:pPr>
        <w:pStyle w:val="Compact"/>
        <w:numPr>
          <w:ilvl w:val="0"/>
          <w:numId w:val="1002"/>
        </w:numPr>
      </w:pPr>
      <w:r>
        <w:t xml:space="preserve">Whether</w:t>
      </w:r>
      <w:r>
        <w:t xml:space="preserve"> </w:t>
      </w:r>
      <w:r>
        <w:rPr>
          <w:b/>
          <w:bCs/>
        </w:rPr>
        <w:t xml:space="preserve">Total RevPAR continues to exceed room RevPAR</w:t>
      </w:r>
      <w:r>
        <w:t xml:space="preserve">, confirming that non-room spend remains a differentiator.</w:t>
      </w:r>
    </w:p>
    <w:bookmarkEnd w:id="12"/>
    <w:bookmarkStart w:id="13" w:name="X66fde7ccee01bffa14d008ff15a6a11746bf569"/>
    <w:p>
      <w:pPr>
        <w:pStyle w:val="Heading3"/>
      </w:pPr>
      <w:r>
        <w:t xml:space="preserve">2. Group pace and business-transient stabilization</w:t>
      </w:r>
    </w:p>
    <w:p>
      <w:pPr>
        <w:pStyle w:val="FirstParagraph"/>
      </w:pPr>
      <w:r>
        <w:t xml:space="preserve">Group is a growing support to the story rather than the main 2Q catalyst. In May, Host had</w:t>
      </w:r>
      <w:r>
        <w:t xml:space="preserve"> </w:t>
      </w:r>
      <w:r>
        <w:rPr>
          <w:b/>
          <w:bCs/>
        </w:rPr>
        <w:t xml:space="preserve">3.5 million definite group room nights</w:t>
      </w:r>
      <w:r>
        <w:t xml:space="preserve"> </w:t>
      </w:r>
      <w:r>
        <w:t xml:space="preserve">on the books for 2026 and total group revenue pace up nearly</w:t>
      </w:r>
      <w:r>
        <w:t xml:space="preserve"> </w:t>
      </w:r>
      <w:r>
        <w:rPr>
          <w:b/>
          <w:bCs/>
        </w:rPr>
        <w:t xml:space="preserve">4%</w:t>
      </w:r>
      <w:r>
        <w:t xml:space="preserve"> </w:t>
      </w:r>
      <w:r>
        <w:t xml:space="preserve">year over year. Management called out especially constructive pace in San Francisco, New York, the Florida Gulf Coast, and Miami, with 2Q and 4Q group pace in the high single digits.</w:t>
      </w:r>
    </w:p>
    <w:p>
      <w:pPr>
        <w:pStyle w:val="BodyText"/>
      </w:pPr>
      <w:r>
        <w:t xml:space="preserve">The report should clarify whether:</w:t>
      </w:r>
    </w:p>
    <w:p>
      <w:pPr>
        <w:pStyle w:val="Compact"/>
        <w:numPr>
          <w:ilvl w:val="0"/>
          <w:numId w:val="1003"/>
        </w:numPr>
      </w:pPr>
      <w:r>
        <w:t xml:space="preserve">Short-term group bookings continued to improve.</w:t>
      </w:r>
    </w:p>
    <w:p>
      <w:pPr>
        <w:pStyle w:val="Compact"/>
        <w:numPr>
          <w:ilvl w:val="0"/>
          <w:numId w:val="1003"/>
        </w:numPr>
      </w:pPr>
      <w:r>
        <w:t xml:space="preserve">Group rate and banquet/catering revenue maintained their momentum.</w:t>
      </w:r>
    </w:p>
    <w:p>
      <w:pPr>
        <w:pStyle w:val="Compact"/>
        <w:numPr>
          <w:ilvl w:val="0"/>
          <w:numId w:val="1003"/>
        </w:numPr>
      </w:pPr>
      <w:r>
        <w:t xml:space="preserve">Corporate-negotiated business continued to offset reduced government mix.</w:t>
      </w:r>
    </w:p>
    <w:p>
      <w:pPr>
        <w:pStyle w:val="FirstParagraph"/>
      </w:pPr>
      <w:r>
        <w:t xml:space="preserve">This matters because a better group backdrop can cushion the anticipated slowing in leisure-rate growth later in the year.</w:t>
      </w:r>
    </w:p>
    <w:bookmarkEnd w:id="13"/>
    <w:bookmarkStart w:id="14" w:name="X28aff4efaf1048f120fc710c11879a98cb56de4"/>
    <w:p>
      <w:pPr>
        <w:pStyle w:val="Heading3"/>
      </w:pPr>
      <w:r>
        <w:t xml:space="preserve">3. Hawaii and the path to Maui’s $120M EBITDA target</w:t>
      </w:r>
    </w:p>
    <w:p>
      <w:pPr>
        <w:pStyle w:val="FirstParagraph"/>
      </w:pPr>
      <w:r>
        <w:t xml:space="preserve">Maui remains both an upside opportunity and a forecast risk. Host maintained its expectation that Maui would contribute approximately</w:t>
      </w:r>
      <w:r>
        <w:t xml:space="preserve"> </w:t>
      </w:r>
      <w:r>
        <w:rPr>
          <w:b/>
          <w:bCs/>
        </w:rPr>
        <w:t xml:space="preserve">$120 million of hotel EBITDA</w:t>
      </w:r>
      <w:r>
        <w:t xml:space="preserve"> </w:t>
      </w:r>
      <w:r>
        <w:t xml:space="preserve">in 2026, which implies a substantial improvement after the market’s post-wildfire disruption. Management indicated that, absent the March weather event, Maui’s 1Q RevPAR growth would have been materially stronger.</w:t>
      </w:r>
    </w:p>
    <w:p>
      <w:pPr>
        <w:pStyle w:val="BodyText"/>
      </w:pPr>
      <w:r>
        <w:t xml:space="preserve">For 2Q, watch for commentary on:</w:t>
      </w:r>
    </w:p>
    <w:p>
      <w:pPr>
        <w:pStyle w:val="Compact"/>
        <w:numPr>
          <w:ilvl w:val="0"/>
          <w:numId w:val="1004"/>
        </w:numPr>
      </w:pPr>
      <w:r>
        <w:t xml:space="preserve">Recovery of canceled and rebooked stays following the Kona Low storm.</w:t>
      </w:r>
    </w:p>
    <w:p>
      <w:pPr>
        <w:pStyle w:val="Compact"/>
        <w:numPr>
          <w:ilvl w:val="0"/>
          <w:numId w:val="1004"/>
        </w:numPr>
      </w:pPr>
      <w:r>
        <w:t xml:space="preserve">Airline-seat capacity and the pace of broader Maui demand recovery.</w:t>
      </w:r>
    </w:p>
    <w:p>
      <w:pPr>
        <w:pStyle w:val="Compact"/>
        <w:numPr>
          <w:ilvl w:val="0"/>
          <w:numId w:val="1004"/>
        </w:numPr>
      </w:pPr>
      <w:r>
        <w:t xml:space="preserve">Progress toward the roughly</w:t>
      </w:r>
      <w:r>
        <w:t xml:space="preserve"> </w:t>
      </w:r>
      <w:r>
        <w:rPr>
          <w:b/>
          <w:bCs/>
        </w:rPr>
        <w:t xml:space="preserve">9% full-year Maui RevPAR growth</w:t>
      </w:r>
      <w:r>
        <w:t xml:space="preserve"> </w:t>
      </w:r>
      <w:r>
        <w:t xml:space="preserve">implied by management’s target.</w:t>
      </w:r>
    </w:p>
    <w:p>
      <w:pPr>
        <w:pStyle w:val="Compact"/>
        <w:numPr>
          <w:ilvl w:val="0"/>
          <w:numId w:val="1004"/>
        </w:numPr>
      </w:pPr>
      <w:r>
        <w:t xml:space="preserve">Any insurance recovery related to storm damage or business interruption. Management has not incorporated additional Kona Low insurance proceeds into guidance.</w:t>
      </w:r>
    </w:p>
    <w:p>
      <w:pPr>
        <w:pStyle w:val="FirstParagraph"/>
      </w:pPr>
      <w:r>
        <w:t xml:space="preserve">A clean Hawaii update would remove a key source of uncertainty around the full-year guide.</w:t>
      </w:r>
    </w:p>
    <w:bookmarkEnd w:id="14"/>
    <w:bookmarkStart w:id="15" w:name="Xb3790fe0a1d627f4f4de85900a24ad01e349885"/>
    <w:p>
      <w:pPr>
        <w:pStyle w:val="Heading3"/>
      </w:pPr>
      <w:r>
        <w:t xml:space="preserve">4. Urban recovery: San Francisco, New York, and Washington, D.C.</w:t>
      </w:r>
    </w:p>
    <w:p>
      <w:pPr>
        <w:pStyle w:val="FirstParagraph"/>
      </w:pPr>
      <w:r>
        <w:t xml:space="preserve">Host’s 1Q market performance was highly uneven. San Francisco/San Jose was exceptional, with</w:t>
      </w:r>
      <w:r>
        <w:t xml:space="preserve"> </w:t>
      </w:r>
      <w:r>
        <w:rPr>
          <w:b/>
          <w:bCs/>
        </w:rPr>
        <w:t xml:space="preserve">25.6% RevPAR growth</w:t>
      </w:r>
      <w:r>
        <w:t xml:space="preserve">, aided by the Super Bowl and a broader recovery in group, leisure, and business demand. New York also grew strongly, with</w:t>
      </w:r>
      <w:r>
        <w:t xml:space="preserve"> </w:t>
      </w:r>
      <w:r>
        <w:rPr>
          <w:b/>
          <w:bCs/>
        </w:rPr>
        <w:t xml:space="preserve">6.8% RevPAR growth</w:t>
      </w:r>
      <w:r>
        <w:t xml:space="preserve">. In contrast, Washington, D.C. CBD declined</w:t>
      </w:r>
      <w:r>
        <w:t xml:space="preserve"> </w:t>
      </w:r>
      <w:r>
        <w:rPr>
          <w:b/>
          <w:bCs/>
        </w:rPr>
        <w:t xml:space="preserve">14.6%</w:t>
      </w:r>
      <w:r>
        <w:t xml:space="preserve">, largely due to difficult comparisons tied to the prior-year presidential inauguration.</w:t>
      </w:r>
    </w:p>
    <w:p>
      <w:pPr>
        <w:pStyle w:val="BodyText"/>
      </w:pPr>
      <w:r>
        <w:t xml:space="preserve">The 2Q release should establish whether San Francisco’s recovery has continued beyond event comparisons and whether New York, Miami, and other World Cup markets captured the expected rate upside. Investors should also look for stabilization in weaker markets such as D.C., New Orleans, Boston, Chicago, and Oahu.</w:t>
      </w:r>
    </w:p>
    <w:bookmarkEnd w:id="15"/>
    <w:bookmarkStart w:id="16" w:name="X22f32ba8b19e4378a49d6494e40aa47eb74282e"/>
    <w:p>
      <w:pPr>
        <w:pStyle w:val="Heading3"/>
      </w:pPr>
      <w:r>
        <w:t xml:space="preserve">5. Margins and labor productivity</w:t>
      </w:r>
    </w:p>
    <w:p>
      <w:pPr>
        <w:pStyle w:val="FirstParagraph"/>
      </w:pPr>
      <w:r>
        <w:t xml:space="preserve">Host’s 1Q comparable hotel EBITDA margin rose</w:t>
      </w:r>
      <w:r>
        <w:t xml:space="preserve"> </w:t>
      </w:r>
      <w:r>
        <w:rPr>
          <w:b/>
          <w:bCs/>
        </w:rPr>
        <w:t xml:space="preserve">70 bps</w:t>
      </w:r>
      <w:r>
        <w:t xml:space="preserve">, ahead of the company’s full-year guide for a 20–50 bps increase. It accomplished this even as wage rates were expected to rise approximately</w:t>
      </w:r>
      <w:r>
        <w:t xml:space="preserve"> </w:t>
      </w:r>
      <w:r>
        <w:rPr>
          <w:b/>
          <w:bCs/>
        </w:rPr>
        <w:t xml:space="preserve">5%</w:t>
      </w:r>
      <w:r>
        <w:t xml:space="preserve"> </w:t>
      </w:r>
      <w:r>
        <w:t xml:space="preserve">for the full year.</w:t>
      </w:r>
    </w:p>
    <w:p>
      <w:pPr>
        <w:pStyle w:val="BodyText"/>
      </w:pPr>
      <w:r>
        <w:t xml:space="preserve">That creates a high bar for 2Q. Investors should assess:</w:t>
      </w:r>
    </w:p>
    <w:p>
      <w:pPr>
        <w:pStyle w:val="Compact"/>
        <w:numPr>
          <w:ilvl w:val="0"/>
          <w:numId w:val="1005"/>
        </w:numPr>
      </w:pPr>
      <w:r>
        <w:t xml:space="preserve">Whether total revenue growth remains ahead of wage-and-benefit expense growth.</w:t>
      </w:r>
    </w:p>
    <w:p>
      <w:pPr>
        <w:pStyle w:val="Compact"/>
        <w:numPr>
          <w:ilvl w:val="0"/>
          <w:numId w:val="1005"/>
        </w:numPr>
      </w:pPr>
      <w:r>
        <w:t xml:space="preserve">Whether room and food-and-beverage margins hold their 1Q gains.</w:t>
      </w:r>
    </w:p>
    <w:p>
      <w:pPr>
        <w:pStyle w:val="Compact"/>
        <w:numPr>
          <w:ilvl w:val="0"/>
          <w:numId w:val="1005"/>
        </w:numPr>
      </w:pPr>
      <w:r>
        <w:t xml:space="preserve">Whether management still expects only 20–50 bps of full-year margin expansion, or sees scope for more upside.</w:t>
      </w:r>
    </w:p>
    <w:p>
      <w:pPr>
        <w:pStyle w:val="Compact"/>
        <w:numPr>
          <w:ilvl w:val="0"/>
          <w:numId w:val="1005"/>
        </w:numPr>
      </w:pPr>
      <w:r>
        <w:t xml:space="preserve">The pace of productivity gains at Marriott and Hyatt-managed hotels.</w:t>
      </w:r>
    </w:p>
    <w:p>
      <w:pPr>
        <w:pStyle w:val="FirstParagraph"/>
      </w:pPr>
      <w:r>
        <w:t xml:space="preserve">Margin performance matters disproportionately because it determines whether incremental RevPAR translates into FFO growth rather than being absorbed by labor and operating costs.</w:t>
      </w:r>
    </w:p>
    <w:bookmarkEnd w:id="16"/>
    <w:bookmarkEnd w:id="17"/>
    <w:bookmarkStart w:id="20" w:name="X98299aeeca6b49c1a896aba24260cb63f91f5f1"/>
    <w:p>
      <w:pPr>
        <w:pStyle w:val="Heading2"/>
      </w:pPr>
      <w:r>
        <w:t xml:space="preserve">Non-core earnings items that could influence the quarter</w:t>
      </w:r>
    </w:p>
    <w:bookmarkStart w:id="18" w:name="four-seasons-orlando-condominium-sales"/>
    <w:p>
      <w:pPr>
        <w:pStyle w:val="Heading3"/>
      </w:pPr>
      <w:r>
        <w:t xml:space="preserve">Four Seasons Orlando condominium sales</w:t>
      </w:r>
    </w:p>
    <w:p>
      <w:pPr>
        <w:pStyle w:val="FirstParagraph"/>
      </w:pPr>
      <w:r>
        <w:t xml:space="preserve">Host expects</w:t>
      </w:r>
      <w:r>
        <w:t xml:space="preserve"> </w:t>
      </w:r>
      <m:oMath>
        <m:r>
          <m:t>20</m:t>
        </m:r>
        <m:r>
          <m:rPr>
            <m:sty m:val="p"/>
          </m:rPr>
          <m:t>–</m:t>
        </m:r>
        <m:r>
          <m:t>25</m:t>
        </m:r>
        <m:r>
          <m:t>m</m:t>
        </m:r>
        <m:r>
          <m:t>i</m:t>
        </m:r>
        <m:r>
          <m:t>l</m:t>
        </m:r>
        <m:r>
          <m:t>l</m:t>
        </m:r>
        <m:r>
          <m:t>i</m:t>
        </m:r>
        <m:r>
          <m:t>o</m:t>
        </m:r>
        <m:r>
          <m:t>n</m:t>
        </m:r>
        <m:r>
          <m:rPr>
            <m:sty m:val="p"/>
          </m:rPr>
          <m:t>*</m:t>
        </m:r>
        <m:r>
          <m:rPr>
            <m:sty m:val="p"/>
          </m:rPr>
          <m:t>*</m:t>
        </m:r>
        <m:r>
          <m:t>o</m:t>
        </m:r>
        <m:r>
          <m:t>f</m:t>
        </m:r>
        <m:r>
          <m:t>2026</m:t>
        </m:r>
        <m:r>
          <m:t>n</m:t>
        </m:r>
        <m:r>
          <m:t>e</m:t>
        </m:r>
        <m:r>
          <m:t>t</m:t>
        </m:r>
        <m:r>
          <m:t>i</m:t>
        </m:r>
        <m:r>
          <m:t>n</m:t>
        </m:r>
        <m:r>
          <m:t>c</m:t>
        </m:r>
        <m:r>
          <m:t>o</m:t>
        </m:r>
        <m:r>
          <m:t>m</m:t>
        </m:r>
        <m:r>
          <m:t>e</m:t>
        </m:r>
        <m:r>
          <m:t>a</m:t>
        </m:r>
        <m:r>
          <m:t>n</m:t>
        </m:r>
        <m:r>
          <m:t>d</m:t>
        </m:r>
        <m:r>
          <m:t>a</m:t>
        </m:r>
        <m:r>
          <m:t>d</m:t>
        </m:r>
        <m:r>
          <m:t>j</m:t>
        </m:r>
        <m:r>
          <m:t>u</m:t>
        </m:r>
        <m:r>
          <m:t>s</m:t>
        </m:r>
        <m:r>
          <m:t>t</m:t>
        </m:r>
        <m:r>
          <m:t>e</m:t>
        </m:r>
        <m:r>
          <m:t>d</m:t>
        </m:r>
        <m:r>
          <m:t>E</m:t>
        </m:r>
        <m:r>
          <m:t>B</m:t>
        </m:r>
        <m:r>
          <m:t>I</m:t>
        </m:r>
        <m:r>
          <m:t>T</m:t>
        </m:r>
        <m:r>
          <m:t>D</m:t>
        </m:r>
        <m:r>
          <m:t>A</m:t>
        </m:r>
        <m:r>
          <m:t>r</m:t>
        </m:r>
        <m:r>
          <m:t>e</m:t>
        </m:r>
        <m:r>
          <m:t>c</m:t>
        </m:r>
        <m:r>
          <m:t>o</m:t>
        </m:r>
        <m:r>
          <m:t>n</m:t>
        </m:r>
        <m:r>
          <m:t>t</m:t>
        </m:r>
        <m:r>
          <m:t>r</m:t>
        </m:r>
        <m:r>
          <m:t>i</m:t>
        </m:r>
        <m:r>
          <m:t>b</m:t>
        </m:r>
        <m:r>
          <m:t>u</m:t>
        </m:r>
        <m:r>
          <m:t>t</m:t>
        </m:r>
        <m:r>
          <m:t>i</m:t>
        </m:r>
        <m:r>
          <m:t>o</m:t>
        </m:r>
        <m:r>
          <m:t>n</m:t>
        </m:r>
        <m:r>
          <m:t>f</m:t>
        </m:r>
        <m:r>
          <m:t>r</m:t>
        </m:r>
        <m:r>
          <m:t>o</m:t>
        </m:r>
        <m:r>
          <m:t>m</m:t>
        </m:r>
        <m:r>
          <m:t>c</m:t>
        </m:r>
        <m:r>
          <m:t>o</m:t>
        </m:r>
        <m:r>
          <m:t>n</m:t>
        </m:r>
        <m:r>
          <m:t>d</m:t>
        </m:r>
        <m:r>
          <m:t>o</m:t>
        </m:r>
        <m:r>
          <m:t>c</m:t>
        </m:r>
        <m:r>
          <m:t>l</m:t>
        </m:r>
        <m:r>
          <m:t>o</m:t>
        </m:r>
        <m:r>
          <m:t>s</m:t>
        </m:r>
        <m:r>
          <m:t>i</m:t>
        </m:r>
        <m:r>
          <m:t>n</m:t>
        </m:r>
        <m:r>
          <m:t>g</m:t>
        </m:r>
        <m:r>
          <m:t>s</m:t>
        </m:r>
        <m:r>
          <m:t>a</m:t>
        </m:r>
        <m:r>
          <m:t>d</m:t>
        </m:r>
        <m:r>
          <m:t>j</m:t>
        </m:r>
        <m:r>
          <m:t>a</m:t>
        </m:r>
        <m:r>
          <m:t>c</m:t>
        </m:r>
        <m:r>
          <m:t>e</m:t>
        </m:r>
        <m:r>
          <m:t>n</m:t>
        </m:r>
        <m:r>
          <m:t>t</m:t>
        </m:r>
        <m:r>
          <m:t>t</m:t>
        </m:r>
        <m:r>
          <m:t>o</m:t>
        </m:r>
        <m:r>
          <m:t>t</m:t>
        </m:r>
        <m:r>
          <m:t>h</m:t>
        </m:r>
        <m:r>
          <m:t>e</m:t>
        </m:r>
        <m:r>
          <m:t>f</m:t>
        </m:r>
        <m:r>
          <m:t>o</m:t>
        </m:r>
        <m:r>
          <m:t>r</m:t>
        </m:r>
        <m:r>
          <m:t>m</m:t>
        </m:r>
        <m:r>
          <m:t>e</m:t>
        </m:r>
        <m:r>
          <m:t>r</m:t>
        </m:r>
        <m:r>
          <m:t>F</m:t>
        </m:r>
        <m:r>
          <m:t>o</m:t>
        </m:r>
        <m:r>
          <m:t>u</m:t>
        </m:r>
        <m:r>
          <m:t>r</m:t>
        </m:r>
        <m:r>
          <m:t>S</m:t>
        </m:r>
        <m:r>
          <m:t>e</m:t>
        </m:r>
        <m:r>
          <m:t>a</m:t>
        </m:r>
        <m:r>
          <m:t>s</m:t>
        </m:r>
        <m:r>
          <m:t>o</m:t>
        </m:r>
        <m:r>
          <m:t>n</m:t>
        </m:r>
        <m:r>
          <m:t>s</m:t>
        </m:r>
        <m:r>
          <m:t>O</m:t>
        </m:r>
        <m:r>
          <m:t>r</m:t>
        </m:r>
        <m:r>
          <m:t>l</m:t>
        </m:r>
        <m:r>
          <m:t>a</m:t>
        </m:r>
        <m:r>
          <m:t>n</m:t>
        </m:r>
        <m:r>
          <m:t>d</m:t>
        </m:r>
        <m:r>
          <m:t>o</m:t>
        </m:r>
        <m:r>
          <m:t>p</m:t>
        </m:r>
        <m:r>
          <m:t>r</m:t>
        </m:r>
        <m:r>
          <m:t>o</m:t>
        </m:r>
        <m:r>
          <m:t>p</m:t>
        </m:r>
        <m:r>
          <m:t>e</m:t>
        </m:r>
        <m:r>
          <m:t>r</m:t>
        </m:r>
        <m:r>
          <m:t>t</m:t>
        </m:r>
        <m:r>
          <m:t>y</m:t>
        </m:r>
        <m:r>
          <m:rPr>
            <m:sty m:val="p"/>
          </m:rPr>
          <m:t>.</m:t>
        </m:r>
        <m:r>
          <m:t>I</m:t>
        </m:r>
        <m:r>
          <m:t>t</m:t>
        </m:r>
        <m:r>
          <m:t>r</m:t>
        </m:r>
        <m:r>
          <m:t>e</m:t>
        </m:r>
        <m:r>
          <m:t>c</m:t>
        </m:r>
        <m:r>
          <m:t>o</m:t>
        </m:r>
        <m:r>
          <m:t>g</m:t>
        </m:r>
        <m:r>
          <m:t>n</m:t>
        </m:r>
        <m:r>
          <m:t>i</m:t>
        </m:r>
        <m:r>
          <m:t>z</m:t>
        </m:r>
        <m:r>
          <m:t>e</m:t>
        </m:r>
        <m:r>
          <m:t>d</m:t>
        </m:r>
        <m:r>
          <m:rPr>
            <m:sty m:val="p"/>
          </m:rPr>
          <m:t>*</m:t>
        </m:r>
        <m:r>
          <m:rPr>
            <m:sty m:val="p"/>
          </m:rPr>
          <m:t>*</m:t>
        </m:r>
      </m:oMath>
      <w:r>
        <w:rPr>
          <w:b/>
          <w:bCs/>
        </w:rPr>
        <w:t xml:space="preserve">4 million</w:t>
      </w:r>
      <w:r>
        <w:t xml:space="preserve"> </w:t>
      </w:r>
      <w:r>
        <w:t xml:space="preserve">in 1Q. At the May update, 20 of 31 mid-rise units had closed, while deposits and purchase agreements covered 8 of 9 villas.</w:t>
      </w:r>
    </w:p>
    <w:p>
      <w:pPr>
        <w:pStyle w:val="BodyText"/>
      </w:pPr>
      <w:r>
        <w:t xml:space="preserve">Additional closings could provide a quarterly EBITDA and FFO tailwind, but investors should separate this from underlying hotel operations.</w:t>
      </w:r>
    </w:p>
    <w:bookmarkEnd w:id="18"/>
    <w:bookmarkStart w:id="19" w:name="transformational-renovations"/>
    <w:p>
      <w:pPr>
        <w:pStyle w:val="Heading3"/>
      </w:pPr>
      <w:r>
        <w:t xml:space="preserve">Transformational renovations</w:t>
      </w:r>
    </w:p>
    <w:p>
      <w:pPr>
        <w:pStyle w:val="FirstParagraph"/>
      </w:pPr>
      <w:r>
        <w:t xml:space="preserve">Host expects approximately</w:t>
      </w:r>
      <w:r>
        <w:t xml:space="preserve"> </w:t>
      </w:r>
      <w:r>
        <w:rPr>
          <w:b/>
          <w:bCs/>
        </w:rPr>
        <w:t xml:space="preserve">$19 million</w:t>
      </w:r>
      <w:r>
        <w:t xml:space="preserve"> </w:t>
      </w:r>
      <w:r>
        <w:t xml:space="preserve">of 2026 operating guarantees under its Hyatt and Marriott transformational-capital programs, offsetting much of the disruption from ongoing renovations. The New Orleans Marriott renovation was scheduled for completion in 3Q, while projects at Ritz-Carlton Naples, Tiburon and Westin Kierland were beginning.</w:t>
      </w:r>
    </w:p>
    <w:p>
      <w:pPr>
        <w:pStyle w:val="BodyText"/>
      </w:pPr>
      <w:r>
        <w:t xml:space="preserve">The longer-term thesis remains compelling: Host expects roughly</w:t>
      </w:r>
      <w:r>
        <w:t xml:space="preserve"> </w:t>
      </w:r>
      <w:r>
        <w:rPr>
          <w:b/>
          <w:bCs/>
        </w:rPr>
        <w:t xml:space="preserve">60% of 2026 hotel EBITDA</w:t>
      </w:r>
      <w:r>
        <w:t xml:space="preserve"> </w:t>
      </w:r>
      <w:r>
        <w:t xml:space="preserve">to come from properties that have completed or are undergoing transformational renovations. Management has cited nearly</w:t>
      </w:r>
      <w:r>
        <w:t xml:space="preserve"> </w:t>
      </w:r>
      <w:r>
        <w:rPr>
          <w:b/>
          <w:bCs/>
        </w:rPr>
        <w:t xml:space="preserve">9 points of RevPAR index-share gain</w:t>
      </w:r>
      <w:r>
        <w:t xml:space="preserve"> </w:t>
      </w:r>
      <w:r>
        <w:t xml:space="preserve">across 21 stabilized renovated hotels. Near-term, however, investors should watch for disruption, cost overruns, or changes in expected guarantees.</w:t>
      </w:r>
    </w:p>
    <w:bookmarkEnd w:id="19"/>
    <w:bookmarkEnd w:id="20"/>
    <w:bookmarkStart w:id="21" w:name="Xc681812310f0d52e1358547313866103ca2a951"/>
    <w:p>
      <w:pPr>
        <w:pStyle w:val="Heading2"/>
      </w:pPr>
      <w:r>
        <w:t xml:space="preserve">Capital allocation and balance-sheet context</w:t>
      </w:r>
    </w:p>
    <w:p>
      <w:pPr>
        <w:pStyle w:val="FirstParagraph"/>
      </w:pPr>
      <w:r>
        <w:t xml:space="preserve">Host’s capital-allocation flexibility is a material differentiator. As of March 31, it had:</w:t>
      </w:r>
    </w:p>
    <w:p>
      <w:pPr>
        <w:pStyle w:val="Compact"/>
        <w:numPr>
          <w:ilvl w:val="0"/>
          <w:numId w:val="1006"/>
        </w:numPr>
      </w:pPr>
      <w:r>
        <w:rPr>
          <w:b/>
          <w:bCs/>
        </w:rPr>
        <w:t xml:space="preserve">$5.1 billion</w:t>
      </w:r>
      <w:r>
        <w:t xml:space="preserve"> </w:t>
      </w:r>
      <w:r>
        <w:t xml:space="preserve">of debt;</w:t>
      </w:r>
    </w:p>
    <w:p>
      <w:pPr>
        <w:pStyle w:val="Compact"/>
        <w:numPr>
          <w:ilvl w:val="0"/>
          <w:numId w:val="1006"/>
        </w:numPr>
      </w:pPr>
      <w:r>
        <w:t xml:space="preserve">A</w:t>
      </w:r>
      <w:r>
        <w:t xml:space="preserve"> </w:t>
      </w:r>
      <w:r>
        <w:rPr>
          <w:b/>
          <w:bCs/>
        </w:rPr>
        <w:t xml:space="preserve">4.8%</w:t>
      </w:r>
      <w:r>
        <w:t xml:space="preserve"> </w:t>
      </w:r>
      <w:r>
        <w:t xml:space="preserve">weighted-average interest rate;</w:t>
      </w:r>
    </w:p>
    <w:p>
      <w:pPr>
        <w:pStyle w:val="Compact"/>
        <w:numPr>
          <w:ilvl w:val="0"/>
          <w:numId w:val="1006"/>
        </w:numPr>
      </w:pPr>
      <w:r>
        <w:t xml:space="preserve">A</w:t>
      </w:r>
      <w:r>
        <w:t xml:space="preserve"> </w:t>
      </w:r>
      <w:r>
        <w:rPr>
          <w:b/>
          <w:bCs/>
        </w:rPr>
        <w:t xml:space="preserve">4.9-year</w:t>
      </w:r>
      <w:r>
        <w:t xml:space="preserve"> </w:t>
      </w:r>
      <w:r>
        <w:t xml:space="preserve">weighted-average debt maturity;</w:t>
      </w:r>
    </w:p>
    <w:p>
      <w:pPr>
        <w:pStyle w:val="Compact"/>
        <w:numPr>
          <w:ilvl w:val="0"/>
          <w:numId w:val="1006"/>
        </w:numPr>
      </w:pPr>
      <w:r>
        <w:t xml:space="preserve">No debt maturities in 2026;</w:t>
      </w:r>
    </w:p>
    <w:p>
      <w:pPr>
        <w:pStyle w:val="Compact"/>
        <w:numPr>
          <w:ilvl w:val="0"/>
          <w:numId w:val="1006"/>
        </w:numPr>
      </w:pPr>
      <w:r>
        <w:t xml:space="preserve">Approximately</w:t>
      </w:r>
      <w:r>
        <w:t xml:space="preserve"> </w:t>
      </w:r>
      <w:r>
        <w:rPr>
          <w:b/>
          <w:bCs/>
        </w:rPr>
        <w:t xml:space="preserve">$3.4 billion</w:t>
      </w:r>
      <w:r>
        <w:t xml:space="preserve"> </w:t>
      </w:r>
      <w:r>
        <w:t xml:space="preserve">of available liquidity before the scheduled dividends.</w:t>
      </w:r>
    </w:p>
    <w:p>
      <w:pPr>
        <w:pStyle w:val="FirstParagraph"/>
      </w:pPr>
      <w:r>
        <w:t xml:space="preserve">The company paid a</w:t>
      </w:r>
      <w:r>
        <w:t xml:space="preserve"> </w:t>
      </w:r>
      <m:oMath>
        <m:r>
          <m:t>0.20</m:t>
        </m:r>
        <m:r>
          <m:t>r</m:t>
        </m:r>
        <m:r>
          <m:t>e</m:t>
        </m:r>
        <m:r>
          <m:t>g</m:t>
        </m:r>
        <m:r>
          <m:t>u</m:t>
        </m:r>
        <m:r>
          <m:t>l</m:t>
        </m:r>
        <m:r>
          <m:t>a</m:t>
        </m:r>
        <m:r>
          <m:t>r</m:t>
        </m:r>
        <m:r>
          <m:t>q</m:t>
        </m:r>
        <m:r>
          <m:t>u</m:t>
        </m:r>
        <m:r>
          <m:t>a</m:t>
        </m:r>
        <m:r>
          <m:t>r</m:t>
        </m:r>
        <m:r>
          <m:t>t</m:t>
        </m:r>
        <m:r>
          <m:t>e</m:t>
        </m:r>
        <m:r>
          <m:t>r</m:t>
        </m:r>
        <m:r>
          <m:t>l</m:t>
        </m:r>
        <m:r>
          <m:t>y</m:t>
        </m:r>
        <m:r>
          <m:t>d</m:t>
        </m:r>
        <m:r>
          <m:t>i</m:t>
        </m:r>
        <m:r>
          <m:t>v</m:t>
        </m:r>
        <m:r>
          <m:t>i</m:t>
        </m:r>
        <m:r>
          <m:t>d</m:t>
        </m:r>
        <m:r>
          <m:t>e</m:t>
        </m:r>
        <m:r>
          <m:t>n</m:t>
        </m:r>
        <m:r>
          <m:t>d</m:t>
        </m:r>
        <m:r>
          <m:rPr>
            <m:sty m:val="p"/>
          </m:rPr>
          <m:t>*</m:t>
        </m:r>
        <m:r>
          <m:rPr>
            <m:sty m:val="p"/>
          </m:rPr>
          <m:t>*</m:t>
        </m:r>
        <m:r>
          <m:t>a</m:t>
        </m:r>
        <m:r>
          <m:t>n</m:t>
        </m:r>
        <m:r>
          <m:t>d</m:t>
        </m:r>
        <m:r>
          <m:t>a</m:t>
        </m:r>
        <m:r>
          <m:rPr>
            <m:sty m:val="p"/>
          </m:rPr>
          <m:t>*</m:t>
        </m:r>
        <m:r>
          <m:rPr>
            <m:sty m:val="p"/>
          </m:rPr>
          <m:t>*</m:t>
        </m:r>
      </m:oMath>
      <w:r>
        <w:rPr>
          <w:b/>
          <w:bCs/>
        </w:rPr>
        <w:t xml:space="preserve">0.72 special dividend</w:t>
      </w:r>
      <w:r>
        <w:t xml:space="preserve"> </w:t>
      </w:r>
      <w:r>
        <w:t xml:space="preserve">on July 15, 2026, the latter reflecting taxable gains from the sale of two Four Seasons resorts. Host also repurchased</w:t>
      </w:r>
      <w:r>
        <w:t xml:space="preserve"> </w:t>
      </w:r>
      <w:r>
        <w:rPr>
          <w:b/>
          <w:bCs/>
        </w:rPr>
        <w:t xml:space="preserve">$75 million</w:t>
      </w:r>
      <w:r>
        <w:t xml:space="preserve"> </w:t>
      </w:r>
      <w:r>
        <w:t xml:space="preserve">of stock in 1Q at an average price of</w:t>
      </w:r>
      <w:r>
        <w:t xml:space="preserve"> </w:t>
      </w:r>
      <m:oMath>
        <m:r>
          <m:t>18.97</m:t>
        </m:r>
        <m:r>
          <m:t>a</m:t>
        </m:r>
        <m:r>
          <m:t>n</m:t>
        </m:r>
        <m:r>
          <m:t>d</m:t>
        </m:r>
        <m:r>
          <m:t>h</m:t>
        </m:r>
        <m:r>
          <m:t>a</m:t>
        </m:r>
        <m:r>
          <m:t>d</m:t>
        </m:r>
        <m:r>
          <m:rPr>
            <m:sty m:val="p"/>
          </m:rPr>
          <m:t>*</m:t>
        </m:r>
        <m:r>
          <m:rPr>
            <m:sty m:val="p"/>
          </m:rPr>
          <m:t>*</m:t>
        </m:r>
      </m:oMath>
      <w:r>
        <w:t xml:space="preserve">405 million** remaining under its repurchase authorization at quarter-end.</w:t>
      </w:r>
    </w:p>
    <w:p>
      <w:pPr>
        <w:pStyle w:val="BodyText"/>
      </w:pPr>
      <w:r>
        <w:t xml:space="preserve">The earnings call should offer an updated view on use of remaining sale proceeds: share repurchases, incremental dividends, internal reinvestment, acquisitions, or further asset sales. Management has been clear that acquisition pricing remains demanding and that it will prioritize risk-adjusted returns over transaction volume.</w:t>
      </w:r>
    </w:p>
    <w:p>
      <w:pPr>
        <w:pStyle w:val="BodyText"/>
      </w:pPr>
      <w:r>
        <w:t xml:space="preserve">One item to keep in mind: Host extended its at-the-market equity program, which permits sales of up to</w:t>
      </w:r>
      <w:r>
        <w:t xml:space="preserve"> </w:t>
      </w:r>
      <w:r>
        <w:rPr>
          <w:b/>
          <w:bCs/>
        </w:rPr>
        <w:t xml:space="preserve">$600 million</w:t>
      </w:r>
      <w:r>
        <w:t xml:space="preserve"> </w:t>
      </w:r>
      <w:r>
        <w:t xml:space="preserve">of common stock. The company stated in its May filing that</w:t>
      </w:r>
      <w:r>
        <w:t xml:space="preserve"> </w:t>
      </w:r>
      <w:r>
        <w:rPr>
          <w:b/>
          <w:bCs/>
        </w:rPr>
        <w:t xml:space="preserve">no shares had been sold</w:t>
      </w:r>
      <w:r>
        <w:t xml:space="preserve"> </w:t>
      </w:r>
      <w:r>
        <w:t xml:space="preserve">under the program to date. It is a source of flexibility rather than an immediate dilution event, but any change in that status would be relevant.</w:t>
      </w:r>
    </w:p>
    <w:bookmarkEnd w:id="21"/>
    <w:bookmarkStart w:id="24" w:name="Xdf636eae653815a4755a326a7ea05cd03c22af7"/>
    <w:p>
      <w:pPr>
        <w:pStyle w:val="Heading2"/>
      </w:pPr>
      <w:r>
        <w:t xml:space="preserve">What would constitute a bullish versus bearish report?</w:t>
      </w:r>
    </w:p>
    <w:bookmarkStart w:id="22" w:name="bullish-read-through"/>
    <w:p>
      <w:pPr>
        <w:pStyle w:val="Heading3"/>
      </w:pPr>
      <w:r>
        <w:t xml:space="preserve">Bullish read-through</w:t>
      </w:r>
    </w:p>
    <w:p>
      <w:pPr>
        <w:pStyle w:val="Compact"/>
        <w:numPr>
          <w:ilvl w:val="0"/>
          <w:numId w:val="1007"/>
        </w:numPr>
      </w:pPr>
      <w:r>
        <w:t xml:space="preserve">Comparable RevPAR growth at or above the indicated</w:t>
      </w:r>
      <w:r>
        <w:t xml:space="preserve"> </w:t>
      </w:r>
      <w:r>
        <w:rPr>
          <w:b/>
          <w:bCs/>
        </w:rPr>
        <w:t xml:space="preserve">~4.4%</w:t>
      </w:r>
      <w:r>
        <w:t xml:space="preserve"> </w:t>
      </w:r>
      <w:r>
        <w:t xml:space="preserve">2Q cadence.</w:t>
      </w:r>
    </w:p>
    <w:p>
      <w:pPr>
        <w:pStyle w:val="Compact"/>
        <w:numPr>
          <w:ilvl w:val="0"/>
          <w:numId w:val="1007"/>
        </w:numPr>
      </w:pPr>
      <w:r>
        <w:t xml:space="preserve">Clear confirmation that World Cup demand generated the anticipated transient-rate and occupancy lift.</w:t>
      </w:r>
    </w:p>
    <w:p>
      <w:pPr>
        <w:pStyle w:val="Compact"/>
        <w:numPr>
          <w:ilvl w:val="0"/>
          <w:numId w:val="1007"/>
        </w:numPr>
      </w:pPr>
      <w:r>
        <w:t xml:space="preserve">Continued Total RevPAR outperformance, showing strong ancillary spending.</w:t>
      </w:r>
    </w:p>
    <w:p>
      <w:pPr>
        <w:pStyle w:val="Compact"/>
        <w:numPr>
          <w:ilvl w:val="0"/>
          <w:numId w:val="1007"/>
        </w:numPr>
      </w:pPr>
      <w:r>
        <w:t xml:space="preserve">Margin expansion that remains ahead of the full-year 20–50 bps target.</w:t>
      </w:r>
    </w:p>
    <w:p>
      <w:pPr>
        <w:pStyle w:val="Compact"/>
        <w:numPr>
          <w:ilvl w:val="0"/>
          <w:numId w:val="1007"/>
        </w:numPr>
      </w:pPr>
      <w:r>
        <w:t xml:space="preserve">Maintained or raised full-year RevPAR, EBITDAre, and adjusted FFO guidance.</w:t>
      </w:r>
    </w:p>
    <w:p>
      <w:pPr>
        <w:pStyle w:val="Compact"/>
        <w:numPr>
          <w:ilvl w:val="0"/>
          <w:numId w:val="1007"/>
        </w:numPr>
      </w:pPr>
      <w:r>
        <w:t xml:space="preserve">Positive updates on Maui rebookings, urban recovery, group pace, and condo closings.</w:t>
      </w:r>
    </w:p>
    <w:p>
      <w:pPr>
        <w:pStyle w:val="Compact"/>
        <w:numPr>
          <w:ilvl w:val="0"/>
          <w:numId w:val="1007"/>
        </w:numPr>
      </w:pPr>
      <w:r>
        <w:t xml:space="preserve">Continued evidence that management can return excess capital while funding high-return renovation projects.</w:t>
      </w:r>
    </w:p>
    <w:bookmarkEnd w:id="22"/>
    <w:bookmarkStart w:id="23" w:name="bearish-read-through"/>
    <w:p>
      <w:pPr>
        <w:pStyle w:val="Heading3"/>
      </w:pPr>
      <w:r>
        <w:t xml:space="preserve">Bearish read-through</w:t>
      </w:r>
    </w:p>
    <w:p>
      <w:pPr>
        <w:pStyle w:val="Compact"/>
        <w:numPr>
          <w:ilvl w:val="0"/>
          <w:numId w:val="1008"/>
        </w:numPr>
      </w:pPr>
      <w:r>
        <w:t xml:space="preserve">A World Cup benefit materially below expectations, especially if high ADR came at the expense of occupancy after the event.</w:t>
      </w:r>
    </w:p>
    <w:p>
      <w:pPr>
        <w:pStyle w:val="Compact"/>
        <w:numPr>
          <w:ilvl w:val="0"/>
          <w:numId w:val="1008"/>
        </w:numPr>
      </w:pPr>
      <w:r>
        <w:t xml:space="preserve">RevPAR growth falling short of the 1Q/2Q run rate without an offsetting improvement in 2H bookings.</w:t>
      </w:r>
    </w:p>
    <w:p>
      <w:pPr>
        <w:pStyle w:val="Compact"/>
        <w:numPr>
          <w:ilvl w:val="0"/>
          <w:numId w:val="1008"/>
        </w:numPr>
      </w:pPr>
      <w:r>
        <w:t xml:space="preserve">Margin pressure from wages, food-and-beverage costs, or renovation disruption.</w:t>
      </w:r>
    </w:p>
    <w:p>
      <w:pPr>
        <w:pStyle w:val="Compact"/>
        <w:numPr>
          <w:ilvl w:val="0"/>
          <w:numId w:val="1008"/>
        </w:numPr>
      </w:pPr>
      <w:r>
        <w:t xml:space="preserve">Weakening group pace or a deterioration in business-transient demand.</w:t>
      </w:r>
    </w:p>
    <w:p>
      <w:pPr>
        <w:pStyle w:val="Compact"/>
        <w:numPr>
          <w:ilvl w:val="0"/>
          <w:numId w:val="1008"/>
        </w:numPr>
      </w:pPr>
      <w:r>
        <w:t xml:space="preserve">Reduced confidence in the Maui EBITDA target or a larger-than-expected Hawaii insurance/damage impact.</w:t>
      </w:r>
    </w:p>
    <w:p>
      <w:pPr>
        <w:pStyle w:val="Compact"/>
        <w:numPr>
          <w:ilvl w:val="0"/>
          <w:numId w:val="1008"/>
        </w:numPr>
      </w:pPr>
      <w:r>
        <w:t xml:space="preserve">A guide reduction, particularly because 2H growth was already expected to moderate.</w:t>
      </w:r>
    </w:p>
    <w:bookmarkEnd w:id="23"/>
    <w:bookmarkEnd w:id="24"/>
    <w:bookmarkStart w:id="25" w:name="bottom-line"/>
    <w:p>
      <w:pPr>
        <w:pStyle w:val="Heading2"/>
      </w:pPr>
      <w:r>
        <w:t xml:space="preserve">Bottom line</w:t>
      </w:r>
    </w:p>
    <w:p>
      <w:pPr>
        <w:pStyle w:val="FirstParagraph"/>
      </w:pPr>
      <w:r>
        <w:t xml:space="preserve">HST’s 2Q report is primarily a</w:t>
      </w:r>
      <w:r>
        <w:t xml:space="preserve"> </w:t>
      </w:r>
      <w:r>
        <w:rPr>
          <w:b/>
          <w:bCs/>
        </w:rPr>
        <w:t xml:space="preserve">validation quarter</w:t>
      </w:r>
      <w:r>
        <w:t xml:space="preserve">. Management’s prior commentary set up a 2Q characterized by mid-single-digit comparable RevPAR growth, World Cup-driven transient demand, continued group improvement, and solid margins. Meeting that framework should preserve confidence in the raised 2026 outlook.</w:t>
      </w:r>
    </w:p>
    <w:p>
      <w:pPr>
        <w:pStyle w:val="BodyText"/>
      </w:pPr>
      <w:r>
        <w:t xml:space="preserve">The more important upside case is that Host converts special-event demand into both</w:t>
      </w:r>
      <w:r>
        <w:t xml:space="preserve"> </w:t>
      </w:r>
      <w:r>
        <w:rPr>
          <w:b/>
          <w:bCs/>
        </w:rPr>
        <w:t xml:space="preserve">rate and ancillary-spend growth</w:t>
      </w:r>
      <w:r>
        <w:t xml:space="preserve">, maintains productivity-led margin expansion, and demonstrates that urban recovery and Maui normalization can support growth after the event calendar fades. Given the stock’s advance since May, the market is likely to reward a beat only if it comes with evidence that the operational momentum is durable into the second half.</w:t>
      </w:r>
    </w:p>
    <w:p>
      <w:pPr>
        <w:pStyle w:val="BodyText"/>
      </w:pPr>
      <w:r>
        <w:rPr>
          <w:i/>
          <w:iCs/>
        </w:rPr>
        <w:t xml:space="preserve">Primary sources: Host Hotels &amp; Resorts 1Q26 earnings release, 1Q26 earnings-call transcript, 1Q26 supplemental financial information, May 2026 SEC filings, and historical HST share-price data through August 4, 2026.</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2026-08-05T01:32:53Z</dcterms:created>
  <dcterms:modified xsi:type="dcterms:W3CDTF">2026-08-05T01:32:53Z</dcterms:modified>
</cp:coreProperties>
</file>

<file path=docProps/custom.xml><?xml version="1.0" encoding="utf-8"?>
<Properties xmlns="http://schemas.openxmlformats.org/officeDocument/2006/custom-properties" xmlns:vt="http://schemas.openxmlformats.org/officeDocument/2006/docPropsVTypes"/>
</file>