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Host Hotels &amp; Resorts (HST)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Host Hotels &amp; Resorts, Inc. (NASDAQ: HST)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August 5, 2026 — After Market Close</w:t>
            </w:r>
          </w:p>
        </w:tc>
      </w:tr>
      <w:tr>
        <w:tc>
          <w:tcPr>
            <w:tcW w:type="dxa" w:w="4320"/>
          </w:tcPr>
          <w:p>
            <w:r>
              <w:rPr>
                <w:rFonts w:ascii="Calibri" w:hAnsi="Calibri"/>
                <w:b/>
                <w:sz w:val="22"/>
              </w:rPr>
              <w:t>Earnings Call</w:t>
            </w:r>
          </w:p>
        </w:tc>
        <w:tc>
          <w:tcPr>
            <w:tcW w:type="dxa" w:w="4320"/>
          </w:tcPr>
          <w:p>
            <w:r>
              <w:rPr>
                <w:rFonts w:ascii="Calibri" w:hAnsi="Calibri"/>
                <w:sz w:val="22"/>
              </w:rPr>
              <w:t>August 6, 2026 — 10:00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Used</w:t>
            </w:r>
          </w:p>
        </w:tc>
        <w:tc>
          <w:tcPr>
            <w:tcW w:type="dxa" w:w="4320"/>
          </w:tcPr>
          <w:p>
            <w:r>
              <w:rPr>
                <w:rFonts w:ascii="Calibri" w:hAnsi="Calibri"/>
                <w:sz w:val="22"/>
              </w:rPr>
              <w:t>IYR (iShares U.S. Real Estate ETF) — covers lodging REITs</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given World Cup tailwinds and accelerating business transient demand, and the biggest swing factor is whether RevPAR growth in World Cup markets (New York, Miami) came in at or above the ~60 bps gross lift management guided.</w:t>
      </w:r>
    </w:p>
    <w:p>
      <w:r>
        <w:rPr>
          <w:rFonts w:ascii="Calibri" w:hAnsi="Calibri"/>
          <w:color w:val="525866"/>
          <w:sz w:val="22"/>
        </w:rPr>
        <w:t>HST heads into Q2 2026 with consensus expecting comparable RevPAR of ~$248 (+3.8% YoY) and Adjusted EBITDAre of ~$518M, both representing a step-up from Q1's strong beat. Management's tone on the Q1 call was explicitly bullish — they raised full-year RevPAR guidance by 100 bps at the midpoint and lifted the EBITDAre midpoint by over 2%, citing resilient affluent consumer demand, World Cup transient pace in World Cup markets up nearly 40% YoY, and San Francisco recovery momentum driven by AI-related corporate demand. Estimate revisions have been modestly positive since the Q1 print, with the FY 2026 EBITDAre consensus rising from ~$1.787B to ~$1.814B, tracking closely with raised guidance — suggesting the street has largely priced in the guidance raise but not yet a second consecutive beat. The stock has outperformed sharply since Q1 earnings (+15.2% vs. IYR +1.8% and SPY +5.1%), implying some beat expectation is already embedded in the price, though the stock still trades at a meaningful discount to private market values (management sold Four Seasons assets at ~4x the company's trading multiple). The key wildcard is the net EBITDA contribution from World Cup demand — management flagged that bookings are heavily last-minute (40% of occupancy booked in the final week before matches), meaning the actual revenue capture could surprise materially in either direction relative to the 60 bps gross RevPAR lift assumption.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RevPAR growth of ~3.8% YoY is achievable given World Cup tailwinds and peer data showing broad demand acceleration, but the bigger swing factor is Adjusted EBITDAre margin, where HST has consistently beaten by converting top-line outperformance into disproportionate EBITDA upside through productivity gains.</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Comparable RevPAR ($)</w:t>
            </w:r>
          </w:p>
        </w:tc>
        <w:tc>
          <w:tcPr>
            <w:tcW w:type="dxa" w:w="1234"/>
          </w:tcPr>
          <w:p>
            <w:r>
              <w:rPr>
                <w:rFonts w:ascii="Calibri" w:hAnsi="Calibri"/>
                <w:sz w:val="22"/>
              </w:rPr>
              <w:t>$244.11</w:t>
            </w:r>
          </w:p>
        </w:tc>
        <w:tc>
          <w:tcPr>
            <w:tcW w:type="dxa" w:w="1234"/>
          </w:tcPr>
          <w:p>
            <w:r>
              <w:rPr>
                <w:rFonts w:ascii="Calibri" w:hAnsi="Calibri"/>
                <w:sz w:val="22"/>
              </w:rPr>
              <w:t>$239.64</w:t>
            </w:r>
          </w:p>
        </w:tc>
        <w:tc>
          <w:tcPr>
            <w:tcW w:type="dxa" w:w="1234"/>
          </w:tcPr>
          <w:p>
            <w:r>
              <w:rPr>
                <w:rFonts w:ascii="Calibri" w:hAnsi="Calibri"/>
                <w:sz w:val="22"/>
              </w:rPr>
              <w:t>$248.07</w:t>
            </w:r>
          </w:p>
        </w:tc>
        <w:tc>
          <w:tcPr>
            <w:tcW w:type="dxa" w:w="1234"/>
          </w:tcPr>
          <w:p>
            <w:r>
              <w:rPr>
                <w:rFonts w:ascii="Calibri" w:hAnsi="Calibri"/>
                <w:sz w:val="22"/>
              </w:rPr>
              <w:t>+3.5%</w:t>
            </w:r>
          </w:p>
        </w:tc>
        <w:tc>
          <w:tcPr>
            <w:tcW w:type="dxa" w:w="1234"/>
          </w:tcPr>
          <w:p>
            <w:r>
              <w:rPr>
                <w:rFonts w:ascii="Calibri" w:hAnsi="Calibri"/>
                <w:sz w:val="22"/>
              </w:rPr>
              <w:t>+3.0% to +4.5% YoY (midpoint +3.75%)</w:t>
            </w:r>
          </w:p>
        </w:tc>
        <w:tc>
          <w:tcPr>
            <w:tcW w:type="dxa" w:w="1234"/>
          </w:tcPr>
          <w:p>
            <w:r>
              <w:rPr>
                <w:rFonts w:ascii="Calibri" w:hAnsi="Calibri"/>
                <w:sz w:val="22"/>
              </w:rPr>
              <w:t>At midpoint</w:t>
            </w:r>
          </w:p>
        </w:tc>
      </w:tr>
      <w:tr>
        <w:tc>
          <w:tcPr>
            <w:tcW w:type="dxa" w:w="1234"/>
          </w:tcPr>
          <w:p>
            <w:r>
              <w:rPr>
                <w:rFonts w:ascii="Calibri" w:hAnsi="Calibri"/>
                <w:sz w:val="22"/>
              </w:rPr>
              <w:t>RevPAR ($)</w:t>
            </w:r>
          </w:p>
        </w:tc>
        <w:tc>
          <w:tcPr>
            <w:tcW w:type="dxa" w:w="1234"/>
          </w:tcPr>
          <w:p>
            <w:r>
              <w:rPr>
                <w:rFonts w:ascii="Calibri" w:hAnsi="Calibri"/>
                <w:sz w:val="22"/>
              </w:rPr>
              <w:t>$244.11</w:t>
            </w:r>
          </w:p>
        </w:tc>
        <w:tc>
          <w:tcPr>
            <w:tcW w:type="dxa" w:w="1234"/>
          </w:tcPr>
          <w:p>
            <w:r>
              <w:rPr>
                <w:rFonts w:ascii="Calibri" w:hAnsi="Calibri"/>
                <w:sz w:val="22"/>
              </w:rPr>
              <w:t>$235.05</w:t>
            </w:r>
          </w:p>
        </w:tc>
        <w:tc>
          <w:tcPr>
            <w:tcW w:type="dxa" w:w="1234"/>
          </w:tcPr>
          <w:p>
            <w:r>
              <w:rPr>
                <w:rFonts w:ascii="Calibri" w:hAnsi="Calibri"/>
                <w:sz w:val="22"/>
              </w:rPr>
              <w:t>$248.17</w:t>
            </w:r>
          </w:p>
        </w:tc>
        <w:tc>
          <w:tcPr>
            <w:tcW w:type="dxa" w:w="1234"/>
          </w:tcPr>
          <w:p>
            <w:r>
              <w:rPr>
                <w:rFonts w:ascii="Calibri" w:hAnsi="Calibri"/>
                <w:sz w:val="22"/>
              </w:rPr>
              <w:t>+5.6%</w:t>
            </w:r>
          </w:p>
        </w:tc>
        <w:tc>
          <w:tcPr>
            <w:tcW w:type="dxa" w:w="1234"/>
          </w:tcPr>
          <w:p>
            <w:r>
              <w:rPr>
                <w:rFonts w:ascii="Calibri" w:hAnsi="Calibri"/>
                <w:sz w:val="22"/>
              </w:rPr>
              <w:t>N/A (FY guidance on comparable basis)</w:t>
            </w:r>
          </w:p>
        </w:tc>
        <w:tc>
          <w:tcPr>
            <w:tcW w:type="dxa" w:w="1234"/>
          </w:tcPr>
          <w:p>
            <w:r>
              <w:rPr>
                <w:rFonts w:ascii="Calibri" w:hAnsi="Calibri"/>
                <w:sz w:val="22"/>
              </w:rPr>
              <w:t>N/A</w:t>
            </w:r>
          </w:p>
        </w:tc>
      </w:tr>
      <w:tr>
        <w:tc>
          <w:tcPr>
            <w:tcW w:type="dxa" w:w="1234"/>
          </w:tcPr>
          <w:p>
            <w:r>
              <w:rPr>
                <w:rFonts w:ascii="Calibri" w:hAnsi="Calibri"/>
                <w:sz w:val="22"/>
              </w:rPr>
              <w:t>Comparable ADR ($)</w:t>
            </w:r>
          </w:p>
        </w:tc>
        <w:tc>
          <w:tcPr>
            <w:tcW w:type="dxa" w:w="1234"/>
          </w:tcPr>
          <w:p>
            <w:r>
              <w:rPr>
                <w:rFonts w:ascii="Calibri" w:hAnsi="Calibri"/>
                <w:sz w:val="22"/>
              </w:rPr>
              <w:t>$347.24</w:t>
            </w:r>
          </w:p>
        </w:tc>
        <w:tc>
          <w:tcPr>
            <w:tcW w:type="dxa" w:w="1234"/>
          </w:tcPr>
          <w:p>
            <w:r>
              <w:rPr>
                <w:rFonts w:ascii="Calibri" w:hAnsi="Calibri"/>
                <w:sz w:val="22"/>
              </w:rPr>
              <w:t>$324.87</w:t>
            </w:r>
          </w:p>
        </w:tc>
        <w:tc>
          <w:tcPr>
            <w:tcW w:type="dxa" w:w="1234"/>
          </w:tcPr>
          <w:p>
            <w:r>
              <w:rPr>
                <w:rFonts w:ascii="Calibri" w:hAnsi="Calibri"/>
                <w:sz w:val="22"/>
              </w:rPr>
              <w:t>$335.00</w:t>
            </w:r>
          </w:p>
        </w:tc>
        <w:tc>
          <w:tcPr>
            <w:tcW w:type="dxa" w:w="1234"/>
          </w:tcPr>
          <w:p>
            <w:r>
              <w:rPr>
                <w:rFonts w:ascii="Calibri" w:hAnsi="Calibri"/>
                <w:sz w:val="22"/>
              </w:rPr>
              <w:t>+3.1%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Comparable Occupancy (%)</w:t>
            </w:r>
          </w:p>
        </w:tc>
        <w:tc>
          <w:tcPr>
            <w:tcW w:type="dxa" w:w="1234"/>
          </w:tcPr>
          <w:p>
            <w:r>
              <w:rPr>
                <w:rFonts w:ascii="Calibri" w:hAnsi="Calibri"/>
                <w:sz w:val="22"/>
              </w:rPr>
              <w:t>70.3%</w:t>
            </w:r>
          </w:p>
        </w:tc>
        <w:tc>
          <w:tcPr>
            <w:tcW w:type="dxa" w:w="1234"/>
          </w:tcPr>
          <w:p>
            <w:r>
              <w:rPr>
                <w:rFonts w:ascii="Calibri" w:hAnsi="Calibri"/>
                <w:sz w:val="22"/>
              </w:rPr>
              <w:t>73.8%</w:t>
            </w:r>
          </w:p>
        </w:tc>
        <w:tc>
          <w:tcPr>
            <w:tcW w:type="dxa" w:w="1234"/>
          </w:tcPr>
          <w:p>
            <w:r>
              <w:rPr>
                <w:rFonts w:ascii="Calibri" w:hAnsi="Calibri"/>
                <w:sz w:val="22"/>
              </w:rPr>
              <w:t>74.7%</w:t>
            </w:r>
          </w:p>
        </w:tc>
        <w:tc>
          <w:tcPr>
            <w:tcW w:type="dxa" w:w="1234"/>
          </w:tcPr>
          <w:p>
            <w:r>
              <w:rPr>
                <w:rFonts w:ascii="Calibri" w:hAnsi="Calibri"/>
                <w:sz w:val="22"/>
              </w:rPr>
              <w:t>+90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Revenues ($M)</w:t>
            </w:r>
          </w:p>
        </w:tc>
        <w:tc>
          <w:tcPr>
            <w:tcW w:type="dxa" w:w="1234"/>
          </w:tcPr>
          <w:p>
            <w:r>
              <w:rPr>
                <w:rFonts w:ascii="Calibri" w:hAnsi="Calibri"/>
                <w:sz w:val="22"/>
              </w:rPr>
              <w:t>$1,645M</w:t>
            </w:r>
          </w:p>
        </w:tc>
        <w:tc>
          <w:tcPr>
            <w:tcW w:type="dxa" w:w="1234"/>
          </w:tcPr>
          <w:p>
            <w:r>
              <w:rPr>
                <w:rFonts w:ascii="Calibri" w:hAnsi="Calibri"/>
                <w:sz w:val="22"/>
              </w:rPr>
              <w:t>$1,586M</w:t>
            </w:r>
          </w:p>
        </w:tc>
        <w:tc>
          <w:tcPr>
            <w:tcW w:type="dxa" w:w="1234"/>
          </w:tcPr>
          <w:p>
            <w:r>
              <w:rPr>
                <w:rFonts w:ascii="Calibri" w:hAnsi="Calibri"/>
                <w:sz w:val="22"/>
              </w:rPr>
              <w:t>$1,616M</w:t>
            </w:r>
          </w:p>
        </w:tc>
        <w:tc>
          <w:tcPr>
            <w:tcW w:type="dxa" w:w="1234"/>
          </w:tcPr>
          <w:p>
            <w:r>
              <w:rPr>
                <w:rFonts w:ascii="Calibri" w:hAnsi="Calibri"/>
                <w:sz w:val="22"/>
              </w:rPr>
              <w:t>+1.9%</w:t>
            </w:r>
          </w:p>
        </w:tc>
        <w:tc>
          <w:tcPr>
            <w:tcW w:type="dxa" w:w="1234"/>
          </w:tcPr>
          <w:p>
            <w:r>
              <w:rPr>
                <w:rFonts w:ascii="Calibri" w:hAnsi="Calibri"/>
                <w:sz w:val="22"/>
              </w:rPr>
              <w:t>N/A (FY cons. ~$6,134M)</w:t>
            </w:r>
          </w:p>
        </w:tc>
        <w:tc>
          <w:tcPr>
            <w:tcW w:type="dxa" w:w="1234"/>
          </w:tcPr>
          <w:p>
            <w:r>
              <w:rPr>
                <w:rFonts w:ascii="Calibri" w:hAnsi="Calibri"/>
                <w:sz w:val="22"/>
              </w:rPr>
              <w:t>N/A</w:t>
            </w:r>
          </w:p>
        </w:tc>
      </w:tr>
      <w:tr>
        <w:tc>
          <w:tcPr>
            <w:tcW w:type="dxa" w:w="1234"/>
          </w:tcPr>
          <w:p>
            <w:r>
              <w:rPr>
                <w:rFonts w:ascii="Calibri" w:hAnsi="Calibri"/>
                <w:sz w:val="22"/>
              </w:rPr>
              <w:t>Adjusted EBITDAre ($M)</w:t>
            </w:r>
          </w:p>
        </w:tc>
        <w:tc>
          <w:tcPr>
            <w:tcW w:type="dxa" w:w="1234"/>
          </w:tcPr>
          <w:p>
            <w:r>
              <w:rPr>
                <w:rFonts w:ascii="Calibri" w:hAnsi="Calibri"/>
                <w:sz w:val="22"/>
              </w:rPr>
              <w:t>$543M</w:t>
            </w:r>
          </w:p>
        </w:tc>
        <w:tc>
          <w:tcPr>
            <w:tcW w:type="dxa" w:w="1234"/>
          </w:tcPr>
          <w:p>
            <w:r>
              <w:rPr>
                <w:rFonts w:ascii="Calibri" w:hAnsi="Calibri"/>
                <w:sz w:val="22"/>
              </w:rPr>
              <w:t>$496M</w:t>
            </w:r>
          </w:p>
        </w:tc>
        <w:tc>
          <w:tcPr>
            <w:tcW w:type="dxa" w:w="1234"/>
          </w:tcPr>
          <w:p>
            <w:r>
              <w:rPr>
                <w:rFonts w:ascii="Calibri" w:hAnsi="Calibri"/>
                <w:sz w:val="22"/>
              </w:rPr>
              <w:t>$518M</w:t>
            </w:r>
          </w:p>
        </w:tc>
        <w:tc>
          <w:tcPr>
            <w:tcW w:type="dxa" w:w="1234"/>
          </w:tcPr>
          <w:p>
            <w:r>
              <w:rPr>
                <w:rFonts w:ascii="Calibri" w:hAnsi="Calibri"/>
                <w:sz w:val="22"/>
              </w:rPr>
              <w:t>+4.4%</w:t>
            </w:r>
          </w:p>
        </w:tc>
        <w:tc>
          <w:tcPr>
            <w:tcW w:type="dxa" w:w="1234"/>
          </w:tcPr>
          <w:p>
            <w:r>
              <w:rPr>
                <w:rFonts w:ascii="Calibri" w:hAnsi="Calibri"/>
                <w:sz w:val="22"/>
              </w:rPr>
              <w:t>FY midpoint $1,810M</w:t>
            </w:r>
          </w:p>
        </w:tc>
        <w:tc>
          <w:tcPr>
            <w:tcW w:type="dxa" w:w="1234"/>
          </w:tcPr>
          <w:p>
            <w:r>
              <w:rPr>
                <w:rFonts w:ascii="Calibri" w:hAnsi="Calibri"/>
                <w:sz w:val="22"/>
              </w:rPr>
              <w:t>FY cons. $1,814M (+0.2% above midpoint)</w:t>
            </w:r>
          </w:p>
        </w:tc>
      </w:tr>
      <w:tr>
        <w:tc>
          <w:tcPr>
            <w:tcW w:type="dxa" w:w="1234"/>
          </w:tcPr>
          <w:p>
            <w:r>
              <w:rPr>
                <w:rFonts w:ascii="Calibri" w:hAnsi="Calibri"/>
                <w:sz w:val="22"/>
              </w:rPr>
              <w:t>Comparable Hotel EBITDA ($M)</w:t>
            </w:r>
          </w:p>
        </w:tc>
        <w:tc>
          <w:tcPr>
            <w:tcW w:type="dxa" w:w="1234"/>
          </w:tcPr>
          <w:p>
            <w:r>
              <w:rPr>
                <w:rFonts w:ascii="Calibri" w:hAnsi="Calibri"/>
                <w:sz w:val="22"/>
              </w:rPr>
              <w:t>$505M</w:t>
            </w:r>
          </w:p>
        </w:tc>
        <w:tc>
          <w:tcPr>
            <w:tcW w:type="dxa" w:w="1234"/>
          </w:tcPr>
          <w:p>
            <w:r>
              <w:rPr>
                <w:rFonts w:ascii="Calibri" w:hAnsi="Calibri"/>
                <w:sz w:val="22"/>
              </w:rPr>
              <w:t>$461M</w:t>
            </w:r>
          </w:p>
        </w:tc>
        <w:tc>
          <w:tcPr>
            <w:tcW w:type="dxa" w:w="1234"/>
          </w:tcPr>
          <w:p>
            <w:r>
              <w:rPr>
                <w:rFonts w:ascii="Calibri" w:hAnsi="Calibri"/>
                <w:sz w:val="22"/>
              </w:rPr>
              <w:t>$496M</w:t>
            </w:r>
          </w:p>
        </w:tc>
        <w:tc>
          <w:tcPr>
            <w:tcW w:type="dxa" w:w="1234"/>
          </w:tcPr>
          <w:p>
            <w:r>
              <w:rPr>
                <w:rFonts w:ascii="Calibri" w:hAnsi="Calibri"/>
                <w:sz w:val="22"/>
              </w:rPr>
              <w:t>+7.6%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Comp. Hotel EBITDA Margin (%)</w:t>
            </w:r>
          </w:p>
        </w:tc>
        <w:tc>
          <w:tcPr>
            <w:tcW w:type="dxa" w:w="1234"/>
          </w:tcPr>
          <w:p>
            <w:r>
              <w:rPr>
                <w:rFonts w:ascii="Calibri" w:hAnsi="Calibri"/>
                <w:sz w:val="22"/>
              </w:rPr>
              <w:t>32.7%</w:t>
            </w:r>
          </w:p>
        </w:tc>
        <w:tc>
          <w:tcPr>
            <w:tcW w:type="dxa" w:w="1234"/>
          </w:tcPr>
          <w:p>
            <w:r>
              <w:rPr>
                <w:rFonts w:ascii="Calibri" w:hAnsi="Calibri"/>
                <w:sz w:val="22"/>
              </w:rPr>
              <w:t>31.3%</w:t>
            </w:r>
          </w:p>
        </w:tc>
        <w:tc>
          <w:tcPr>
            <w:tcW w:type="dxa" w:w="1234"/>
          </w:tcPr>
          <w:p>
            <w:r>
              <w:rPr>
                <w:rFonts w:ascii="Calibri" w:hAnsi="Calibri"/>
                <w:sz w:val="22"/>
              </w:rPr>
              <w:t>31.6%</w:t>
            </w:r>
          </w:p>
        </w:tc>
        <w:tc>
          <w:tcPr>
            <w:tcW w:type="dxa" w:w="1234"/>
          </w:tcPr>
          <w:p>
            <w:r>
              <w:rPr>
                <w:rFonts w:ascii="Calibri" w:hAnsi="Calibri"/>
                <w:sz w:val="22"/>
              </w:rPr>
              <w:t>+30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AFFO per Share — Diluted ($)</w:t>
            </w:r>
          </w:p>
        </w:tc>
        <w:tc>
          <w:tcPr>
            <w:tcW w:type="dxa" w:w="1234"/>
          </w:tcPr>
          <w:p>
            <w:r>
              <w:rPr>
                <w:rFonts w:ascii="Calibri" w:hAnsi="Calibri"/>
                <w:sz w:val="22"/>
              </w:rPr>
              <w:t>$0.67</w:t>
            </w:r>
          </w:p>
        </w:tc>
        <w:tc>
          <w:tcPr>
            <w:tcW w:type="dxa" w:w="1234"/>
          </w:tcPr>
          <w:p>
            <w:r>
              <w:rPr>
                <w:rFonts w:ascii="Calibri" w:hAnsi="Calibri"/>
                <w:sz w:val="22"/>
              </w:rPr>
              <w:t>$0.58</w:t>
            </w:r>
          </w:p>
        </w:tc>
        <w:tc>
          <w:tcPr>
            <w:tcW w:type="dxa" w:w="1234"/>
          </w:tcPr>
          <w:p>
            <w:r>
              <w:rPr>
                <w:rFonts w:ascii="Calibri" w:hAnsi="Calibri"/>
                <w:sz w:val="22"/>
              </w:rPr>
              <w:t>$0.619</w:t>
            </w:r>
          </w:p>
        </w:tc>
        <w:tc>
          <w:tcPr>
            <w:tcW w:type="dxa" w:w="1234"/>
          </w:tcPr>
          <w:p>
            <w:r>
              <w:rPr>
                <w:rFonts w:ascii="Calibri" w:hAnsi="Calibri"/>
                <w:sz w:val="22"/>
              </w:rPr>
              <w:t>+6.7%</w:t>
            </w:r>
          </w:p>
        </w:tc>
        <w:tc>
          <w:tcPr>
            <w:tcW w:type="dxa" w:w="1234"/>
          </w:tcPr>
          <w:p>
            <w:r>
              <w:rPr>
                <w:rFonts w:ascii="Calibri" w:hAnsi="Calibri"/>
                <w:sz w:val="22"/>
              </w:rPr>
              <w:t>FY cons. ~$2.17</w:t>
            </w:r>
          </w:p>
        </w:tc>
        <w:tc>
          <w:tcPr>
            <w:tcW w:type="dxa" w:w="1234"/>
          </w:tcPr>
          <w:p>
            <w:r>
              <w:rPr>
                <w:rFonts w:ascii="Calibri" w:hAnsi="Calibri"/>
                <w:sz w:val="22"/>
              </w:rPr>
              <w:t>N/A (no per-share FY guidance)</w:t>
            </w:r>
          </w:p>
        </w:tc>
      </w:tr>
      <w:tr>
        <w:tc>
          <w:tcPr>
            <w:tcW w:type="dxa" w:w="1234"/>
          </w:tcPr>
          <w:p>
            <w:r>
              <w:rPr>
                <w:rFonts w:ascii="Calibri" w:hAnsi="Calibri"/>
                <w:sz w:val="22"/>
              </w:rPr>
              <w:t>FFO per Share — Diluted ($)</w:t>
            </w:r>
          </w:p>
        </w:tc>
        <w:tc>
          <w:tcPr>
            <w:tcW w:type="dxa" w:w="1234"/>
          </w:tcPr>
          <w:p>
            <w:r>
              <w:rPr>
                <w:rFonts w:ascii="Calibri" w:hAnsi="Calibri"/>
                <w:sz w:val="22"/>
              </w:rPr>
              <w:t>$0.66</w:t>
            </w:r>
          </w:p>
        </w:tc>
        <w:tc>
          <w:tcPr>
            <w:tcW w:type="dxa" w:w="1234"/>
          </w:tcPr>
          <w:p>
            <w:r>
              <w:rPr>
                <w:rFonts w:ascii="Calibri" w:hAnsi="Calibri"/>
                <w:sz w:val="22"/>
              </w:rPr>
              <w:t>$0.569</w:t>
            </w:r>
          </w:p>
        </w:tc>
        <w:tc>
          <w:tcPr>
            <w:tcW w:type="dxa" w:w="1234"/>
          </w:tcPr>
          <w:p>
            <w:r>
              <w:rPr>
                <w:rFonts w:ascii="Calibri" w:hAnsi="Calibri"/>
                <w:sz w:val="22"/>
              </w:rPr>
              <w:t>$0.615</w:t>
            </w:r>
          </w:p>
        </w:tc>
        <w:tc>
          <w:tcPr>
            <w:tcW w:type="dxa" w:w="1234"/>
          </w:tcPr>
          <w:p>
            <w:r>
              <w:rPr>
                <w:rFonts w:ascii="Calibri" w:hAnsi="Calibri"/>
                <w:sz w:val="22"/>
              </w:rPr>
              <w:t>+8.1%</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August 4, 2026. Q1 2026 Actual = last reported quarter. Q2 2025 Actual = prior year comparable period. Comparable RevPAR YoY based on Q2 2025 actual of $239.64. FY 2026 guidance from Q1 2026 earnings call (May 6, 2026).</w:t>
      </w:r>
    </w:p>
    <w:p>
      <w:pPr>
        <w:pStyle w:val="Heading2"/>
      </w:pPr>
      <w:r>
        <w:rPr>
          <w:rFonts w:ascii="Calibri" w:hAnsi="Calibri"/>
          <w:b/>
          <w:color w:val="3B4259"/>
          <w:sz w:val="28"/>
        </w:rPr>
        <w:t>Table 2 — Beat / Miss History (Last 8 Quarters, Top 2 KPIs)</w:t>
      </w:r>
    </w:p>
    <w:p>
      <w:r>
        <w:rPr>
          <w:rFonts w:ascii="Calibri" w:hAnsi="Calibri"/>
          <w:b/>
          <w:color w:val="525866"/>
          <w:sz w:val="22"/>
        </w:rPr>
        <w:t>Top 2 KPIs: Comparable RevPAR and Adjusted EBITDAre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Comp. RevPAR</w:t>
            </w:r>
          </w:p>
        </w:tc>
        <w:tc>
          <w:tcPr>
            <w:tcW w:type="dxa" w:w="1440"/>
          </w:tcPr>
          <w:p>
            <w:r>
              <w:rPr>
                <w:rFonts w:ascii="Calibri" w:hAnsi="Calibri"/>
                <w:sz w:val="22"/>
              </w:rPr>
              <w:t>$244.11</w:t>
            </w:r>
          </w:p>
        </w:tc>
        <w:tc>
          <w:tcPr>
            <w:tcW w:type="dxa" w:w="1440"/>
          </w:tcPr>
          <w:p>
            <w:r>
              <w:rPr>
                <w:rFonts w:ascii="Calibri" w:hAnsi="Calibri"/>
                <w:sz w:val="22"/>
              </w:rPr>
              <w:t>$242.53</w:t>
            </w:r>
          </w:p>
        </w:tc>
        <w:tc>
          <w:tcPr>
            <w:tcW w:type="dxa" w:w="1440"/>
          </w:tcPr>
          <w:p>
            <w:r>
              <w:rPr>
                <w:rFonts w:ascii="Calibri" w:hAnsi="Calibri"/>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EBITDAre</w:t>
            </w:r>
          </w:p>
        </w:tc>
        <w:tc>
          <w:tcPr>
            <w:tcW w:type="dxa" w:w="1440"/>
          </w:tcPr>
          <w:p>
            <w:r>
              <w:rPr>
                <w:rFonts w:ascii="Calibri" w:hAnsi="Calibri"/>
                <w:sz w:val="22"/>
              </w:rPr>
              <w:t>$543M</w:t>
            </w:r>
          </w:p>
        </w:tc>
        <w:tc>
          <w:tcPr>
            <w:tcW w:type="dxa" w:w="1440"/>
          </w:tcPr>
          <w:p>
            <w:r>
              <w:rPr>
                <w:rFonts w:ascii="Calibri" w:hAnsi="Calibri"/>
                <w:sz w:val="22"/>
              </w:rPr>
              <w:t>$507M</w:t>
            </w:r>
          </w:p>
        </w:tc>
        <w:tc>
          <w:tcPr>
            <w:tcW w:type="dxa" w:w="1440"/>
          </w:tcPr>
          <w:p>
            <w:r>
              <w:rPr>
                <w:rFonts w:ascii="Calibri" w:hAnsi="Calibri"/>
                <w:sz w:val="22"/>
              </w:rPr>
              <w:t>+7.1%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Comp. RevPAR</w:t>
            </w:r>
          </w:p>
        </w:tc>
        <w:tc>
          <w:tcPr>
            <w:tcW w:type="dxa" w:w="1440"/>
          </w:tcPr>
          <w:p>
            <w:r>
              <w:rPr>
                <w:rFonts w:ascii="Calibri" w:hAnsi="Calibri"/>
                <w:sz w:val="22"/>
              </w:rPr>
              <w:t>$227.14</w:t>
            </w:r>
          </w:p>
        </w:tc>
        <w:tc>
          <w:tcPr>
            <w:tcW w:type="dxa" w:w="1440"/>
          </w:tcPr>
          <w:p>
            <w:r>
              <w:rPr>
                <w:rFonts w:ascii="Calibri" w:hAnsi="Calibri"/>
                <w:sz w:val="22"/>
              </w:rPr>
              <w:t>$219.20</w:t>
            </w:r>
          </w:p>
        </w:tc>
        <w:tc>
          <w:tcPr>
            <w:tcW w:type="dxa" w:w="1440"/>
          </w:tcPr>
          <w:p>
            <w:r>
              <w:rPr>
                <w:rFonts w:ascii="Calibri" w:hAnsi="Calibri"/>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EBITDAre</w:t>
            </w:r>
          </w:p>
        </w:tc>
        <w:tc>
          <w:tcPr>
            <w:tcW w:type="dxa" w:w="1440"/>
          </w:tcPr>
          <w:p>
            <w:r>
              <w:rPr>
                <w:rFonts w:ascii="Calibri" w:hAnsi="Calibri"/>
                <w:sz w:val="22"/>
              </w:rPr>
              <w:t>$428M</w:t>
            </w:r>
          </w:p>
        </w:tc>
        <w:tc>
          <w:tcPr>
            <w:tcW w:type="dxa" w:w="1440"/>
          </w:tcPr>
          <w:p>
            <w:r>
              <w:rPr>
                <w:rFonts w:ascii="Calibri" w:hAnsi="Calibri"/>
                <w:sz w:val="22"/>
              </w:rPr>
              <w:t>$399M</w:t>
            </w:r>
          </w:p>
        </w:tc>
        <w:tc>
          <w:tcPr>
            <w:tcW w:type="dxa" w:w="1440"/>
          </w:tcPr>
          <w:p>
            <w:r>
              <w:rPr>
                <w:rFonts w:ascii="Calibri" w:hAnsi="Calibri"/>
                <w:sz w:val="22"/>
              </w:rPr>
              <w:t>+7.3%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Comp. RevPAR</w:t>
            </w:r>
          </w:p>
        </w:tc>
        <w:tc>
          <w:tcPr>
            <w:tcW w:type="dxa" w:w="1440"/>
          </w:tcPr>
          <w:p>
            <w:r>
              <w:rPr>
                <w:rFonts w:ascii="Calibri" w:hAnsi="Calibri"/>
                <w:sz w:val="22"/>
              </w:rPr>
              <w:t>$208.07</w:t>
            </w:r>
          </w:p>
        </w:tc>
        <w:tc>
          <w:tcPr>
            <w:tcW w:type="dxa" w:w="1440"/>
          </w:tcPr>
          <w:p>
            <w:r>
              <w:rPr>
                <w:rFonts w:ascii="Calibri" w:hAnsi="Calibri"/>
                <w:sz w:val="22"/>
              </w:rPr>
              <w:t>$203.21</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EBITDAre</w:t>
            </w:r>
          </w:p>
        </w:tc>
        <w:tc>
          <w:tcPr>
            <w:tcW w:type="dxa" w:w="1440"/>
          </w:tcPr>
          <w:p>
            <w:r>
              <w:rPr>
                <w:rFonts w:ascii="Calibri" w:hAnsi="Calibri"/>
                <w:sz w:val="22"/>
              </w:rPr>
              <w:t>$319M</w:t>
            </w:r>
          </w:p>
        </w:tc>
        <w:tc>
          <w:tcPr>
            <w:tcW w:type="dxa" w:w="1440"/>
          </w:tcPr>
          <w:p>
            <w:r>
              <w:rPr>
                <w:rFonts w:ascii="Calibri" w:hAnsi="Calibri"/>
                <w:sz w:val="22"/>
              </w:rPr>
              <w:t>$308M</w:t>
            </w:r>
          </w:p>
        </w:tc>
        <w:tc>
          <w:tcPr>
            <w:tcW w:type="dxa" w:w="1440"/>
          </w:tcPr>
          <w:p>
            <w:r>
              <w:rPr>
                <w:rFonts w:ascii="Calibri" w:hAnsi="Calibri"/>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Comp. RevPAR</w:t>
            </w:r>
          </w:p>
        </w:tc>
        <w:tc>
          <w:tcPr>
            <w:tcW w:type="dxa" w:w="1440"/>
          </w:tcPr>
          <w:p>
            <w:r>
              <w:rPr>
                <w:rFonts w:ascii="Calibri" w:hAnsi="Calibri"/>
                <w:sz w:val="22"/>
              </w:rPr>
              <w:t>$239.64</w:t>
            </w:r>
          </w:p>
        </w:tc>
        <w:tc>
          <w:tcPr>
            <w:tcW w:type="dxa" w:w="1440"/>
          </w:tcPr>
          <w:p>
            <w:r>
              <w:rPr>
                <w:rFonts w:ascii="Calibri" w:hAnsi="Calibri"/>
                <w:sz w:val="22"/>
              </w:rPr>
              <w:t>$230.78</w:t>
            </w:r>
          </w:p>
        </w:tc>
        <w:tc>
          <w:tcPr>
            <w:tcW w:type="dxa" w:w="1440"/>
          </w:tcPr>
          <w:p>
            <w:r>
              <w:rPr>
                <w:rFonts w:ascii="Calibri" w:hAnsi="Calibri"/>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EBITDAre</w:t>
            </w:r>
          </w:p>
        </w:tc>
        <w:tc>
          <w:tcPr>
            <w:tcW w:type="dxa" w:w="1440"/>
          </w:tcPr>
          <w:p>
            <w:r>
              <w:rPr>
                <w:rFonts w:ascii="Calibri" w:hAnsi="Calibri"/>
                <w:sz w:val="22"/>
              </w:rPr>
              <w:t>$496M</w:t>
            </w:r>
          </w:p>
        </w:tc>
        <w:tc>
          <w:tcPr>
            <w:tcW w:type="dxa" w:w="1440"/>
          </w:tcPr>
          <w:p>
            <w:r>
              <w:rPr>
                <w:rFonts w:ascii="Calibri" w:hAnsi="Calibri"/>
                <w:sz w:val="22"/>
              </w:rPr>
              <w:t>$448M</w:t>
            </w:r>
          </w:p>
        </w:tc>
        <w:tc>
          <w:tcPr>
            <w:tcW w:type="dxa" w:w="1440"/>
          </w:tcPr>
          <w:p>
            <w:r>
              <w:rPr>
                <w:rFonts w:ascii="Calibri" w:hAnsi="Calibri"/>
                <w:sz w:val="22"/>
              </w:rPr>
              <w:t>+10.7%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Comp. RevPAR</w:t>
            </w:r>
          </w:p>
        </w:tc>
        <w:tc>
          <w:tcPr>
            <w:tcW w:type="dxa" w:w="1440"/>
          </w:tcPr>
          <w:p>
            <w:r>
              <w:rPr>
                <w:rFonts w:ascii="Calibri" w:hAnsi="Calibri"/>
                <w:sz w:val="22"/>
              </w:rPr>
              <w:t>$240.18</w:t>
            </w:r>
          </w:p>
        </w:tc>
        <w:tc>
          <w:tcPr>
            <w:tcW w:type="dxa" w:w="1440"/>
          </w:tcPr>
          <w:p>
            <w:r>
              <w:rPr>
                <w:rFonts w:ascii="Calibri" w:hAnsi="Calibri"/>
                <w:sz w:val="22"/>
              </w:rPr>
              <w:t>$227.25</w:t>
            </w:r>
          </w:p>
        </w:tc>
        <w:tc>
          <w:tcPr>
            <w:tcW w:type="dxa" w:w="1440"/>
          </w:tcPr>
          <w:p>
            <w:r>
              <w:rPr>
                <w:rFonts w:ascii="Calibri" w:hAnsi="Calibri"/>
                <w:sz w:val="22"/>
              </w:rPr>
              <w:t>+5.7%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EBITDAre</w:t>
            </w:r>
          </w:p>
        </w:tc>
        <w:tc>
          <w:tcPr>
            <w:tcW w:type="dxa" w:w="1440"/>
          </w:tcPr>
          <w:p>
            <w:r>
              <w:rPr>
                <w:rFonts w:ascii="Calibri" w:hAnsi="Calibri"/>
                <w:sz w:val="22"/>
              </w:rPr>
              <w:t>$514M</w:t>
            </w:r>
          </w:p>
        </w:tc>
        <w:tc>
          <w:tcPr>
            <w:tcW w:type="dxa" w:w="1440"/>
          </w:tcPr>
          <w:p>
            <w:r>
              <w:rPr>
                <w:rFonts w:ascii="Calibri" w:hAnsi="Calibri"/>
                <w:sz w:val="22"/>
              </w:rPr>
              <w:t>$469M</w:t>
            </w:r>
          </w:p>
        </w:tc>
        <w:tc>
          <w:tcPr>
            <w:tcW w:type="dxa" w:w="1440"/>
          </w:tcPr>
          <w:p>
            <w:r>
              <w:rPr>
                <w:rFonts w:ascii="Calibri" w:hAnsi="Calibri"/>
                <w:sz w:val="22"/>
              </w:rPr>
              <w:t>+9.6%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Comp. RevPAR</w:t>
            </w:r>
          </w:p>
        </w:tc>
        <w:tc>
          <w:tcPr>
            <w:tcW w:type="dxa" w:w="1440"/>
          </w:tcPr>
          <w:p>
            <w:r>
              <w:rPr>
                <w:rFonts w:ascii="Calibri" w:hAnsi="Calibri"/>
                <w:sz w:val="22"/>
              </w:rPr>
              <w:t>$217.11</w:t>
            </w:r>
          </w:p>
        </w:tc>
        <w:tc>
          <w:tcPr>
            <w:tcW w:type="dxa" w:w="1440"/>
          </w:tcPr>
          <w:p>
            <w:r>
              <w:rPr>
                <w:rFonts w:ascii="Calibri" w:hAnsi="Calibri"/>
                <w:sz w:val="22"/>
              </w:rPr>
              <w:t>$204.38</w:t>
            </w:r>
          </w:p>
        </w:tc>
        <w:tc>
          <w:tcPr>
            <w:tcW w:type="dxa" w:w="1440"/>
          </w:tcPr>
          <w:p>
            <w:r>
              <w:rPr>
                <w:rFonts w:ascii="Calibri" w:hAnsi="Calibri"/>
                <w:sz w:val="22"/>
              </w:rPr>
              <w:t>+6.2%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EBITDAre</w:t>
            </w:r>
          </w:p>
        </w:tc>
        <w:tc>
          <w:tcPr>
            <w:tcW w:type="dxa" w:w="1440"/>
          </w:tcPr>
          <w:p>
            <w:r>
              <w:rPr>
                <w:rFonts w:ascii="Calibri" w:hAnsi="Calibri"/>
                <w:sz w:val="22"/>
              </w:rPr>
              <w:t>$380M</w:t>
            </w:r>
          </w:p>
        </w:tc>
        <w:tc>
          <w:tcPr>
            <w:tcW w:type="dxa" w:w="1440"/>
          </w:tcPr>
          <w:p>
            <w:r>
              <w:rPr>
                <w:rFonts w:ascii="Calibri" w:hAnsi="Calibri"/>
                <w:sz w:val="22"/>
              </w:rPr>
              <w:t>$346M</w:t>
            </w:r>
          </w:p>
        </w:tc>
        <w:tc>
          <w:tcPr>
            <w:tcW w:type="dxa" w:w="1440"/>
          </w:tcPr>
          <w:p>
            <w:r>
              <w:rPr>
                <w:rFonts w:ascii="Calibri" w:hAnsi="Calibri"/>
                <w:sz w:val="22"/>
              </w:rPr>
              <w:t>+9.8%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Comp. RevPAR</w:t>
            </w:r>
          </w:p>
        </w:tc>
        <w:tc>
          <w:tcPr>
            <w:tcW w:type="dxa" w:w="1440"/>
          </w:tcPr>
          <w:p>
            <w:r>
              <w:rPr>
                <w:rFonts w:ascii="Calibri" w:hAnsi="Calibri"/>
                <w:sz w:val="22"/>
              </w:rPr>
              <w:t>$206.21</w:t>
            </w:r>
          </w:p>
        </w:tc>
        <w:tc>
          <w:tcPr>
            <w:tcW w:type="dxa" w:w="1440"/>
          </w:tcPr>
          <w:p>
            <w:r>
              <w:rPr>
                <w:rFonts w:ascii="Calibri" w:hAnsi="Calibri"/>
                <w:sz w:val="22"/>
              </w:rPr>
              <w:t>$201.50</w:t>
            </w:r>
          </w:p>
        </w:tc>
        <w:tc>
          <w:tcPr>
            <w:tcW w:type="dxa" w:w="1440"/>
          </w:tcPr>
          <w:p>
            <w:r>
              <w:rPr>
                <w:rFonts w:ascii="Calibri" w:hAnsi="Calibri"/>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EBITDAre</w:t>
            </w:r>
          </w:p>
        </w:tc>
        <w:tc>
          <w:tcPr>
            <w:tcW w:type="dxa" w:w="1440"/>
          </w:tcPr>
          <w:p>
            <w:r>
              <w:rPr>
                <w:rFonts w:ascii="Calibri" w:hAnsi="Calibri"/>
                <w:sz w:val="22"/>
              </w:rPr>
              <w:t>$330M</w:t>
            </w:r>
          </w:p>
        </w:tc>
        <w:tc>
          <w:tcPr>
            <w:tcW w:type="dxa" w:w="1440"/>
          </w:tcPr>
          <w:p>
            <w:r>
              <w:rPr>
                <w:rFonts w:ascii="Calibri" w:hAnsi="Calibri"/>
                <w:sz w:val="22"/>
              </w:rPr>
              <w:t>$317M</w:t>
            </w:r>
          </w:p>
        </w:tc>
        <w:tc>
          <w:tcPr>
            <w:tcW w:type="dxa" w:w="1440"/>
          </w:tcPr>
          <w:p>
            <w:r>
              <w:rPr>
                <w:rFonts w:ascii="Calibri" w:hAnsi="Calibri"/>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Comp. RevPAR</w:t>
            </w:r>
          </w:p>
        </w:tc>
        <w:tc>
          <w:tcPr>
            <w:tcW w:type="dxa" w:w="1440"/>
          </w:tcPr>
          <w:p>
            <w:r>
              <w:rPr>
                <w:rFonts w:ascii="Calibri" w:hAnsi="Calibri"/>
                <w:sz w:val="22"/>
              </w:rPr>
              <w:t>$224.29</w:t>
            </w:r>
          </w:p>
        </w:tc>
        <w:tc>
          <w:tcPr>
            <w:tcW w:type="dxa" w:w="1440"/>
          </w:tcPr>
          <w:p>
            <w:r>
              <w:rPr>
                <w:rFonts w:ascii="Calibri" w:hAnsi="Calibri"/>
                <w:sz w:val="22"/>
              </w:rPr>
              <w:t>$228.13</w:t>
            </w:r>
          </w:p>
        </w:tc>
        <w:tc>
          <w:tcPr>
            <w:tcW w:type="dxa" w:w="1440"/>
          </w:tcPr>
          <w:p>
            <w:r>
              <w:rPr>
                <w:rFonts w:ascii="Calibri" w:hAnsi="Calibri"/>
                <w:sz w:val="22"/>
              </w:rPr>
              <w:t>−1.7%</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EBITDAre</w:t>
            </w:r>
          </w:p>
        </w:tc>
        <w:tc>
          <w:tcPr>
            <w:tcW w:type="dxa" w:w="1440"/>
          </w:tcPr>
          <w:p>
            <w:r>
              <w:rPr>
                <w:rFonts w:ascii="Calibri" w:hAnsi="Calibri"/>
                <w:sz w:val="22"/>
              </w:rPr>
              <w:t>$481M</w:t>
            </w:r>
          </w:p>
        </w:tc>
        <w:tc>
          <w:tcPr>
            <w:tcW w:type="dxa" w:w="1440"/>
          </w:tcPr>
          <w:p>
            <w:r>
              <w:rPr>
                <w:rFonts w:ascii="Calibri" w:hAnsi="Calibri"/>
                <w:sz w:val="22"/>
              </w:rPr>
              <w:t>$462M</w:t>
            </w:r>
          </w:p>
        </w:tc>
        <w:tc>
          <w:tcPr>
            <w:tcW w:type="dxa" w:w="1440"/>
          </w:tcPr>
          <w:p>
            <w:r>
              <w:rPr>
                <w:rFonts w:ascii="Calibri" w:hAnsi="Calibri"/>
                <w:sz w:val="22"/>
              </w:rPr>
              <w:t>+4.1%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HST has beaten Adjusted EBITDAre consensus in 7 of the last 8 quarters, with an average beat of ~7%. Comparable RevPAR has beaten in 7 of 8 quarters as well (the lone miss was Q2 2024). The consistent EBITDA outperformance reflects management's ability to convert top-line beats into disproportionate margin upside through productivity gains — a pattern that sets a high bar for the street to fully model.</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guidance meaningfully at Q1 earnings (May 6, 2026) and has not issued any subsequent formal revision — the bar is the raised guidance, and tone remains constructive with World Cup demand tracking ahead of expectations.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Comparable Hotel RevPAR Growth (FY 2026)</w:t>
            </w:r>
          </w:p>
        </w:tc>
        <w:tc>
          <w:tcPr>
            <w:tcW w:type="dxa" w:w="1728"/>
          </w:tcPr>
          <w:p>
            <w:r>
              <w:rPr>
                <w:rFonts w:ascii="Calibri" w:hAnsi="Calibri"/>
                <w:sz w:val="22"/>
              </w:rPr>
              <w:t>+3.0% to +4.5% YoY (midpoint +3.75%)</w:t>
            </w:r>
          </w:p>
        </w:tc>
        <w:tc>
          <w:tcPr>
            <w:tcW w:type="dxa" w:w="1728"/>
          </w:tcPr>
          <w:p>
            <w:r>
              <w:rPr>
                <w:rFonts w:ascii="Calibri" w:hAnsi="Calibri"/>
                <w:sz w:val="22"/>
              </w:rPr>
              <w:t>—</w:t>
            </w:r>
          </w:p>
        </w:tc>
        <w:tc>
          <w:tcPr>
            <w:tcW w:type="dxa" w:w="1728"/>
          </w:tcPr>
          <w:p>
            <w:r>
              <w:rPr>
                <w:rFonts w:ascii="Calibri" w:hAnsi="Calibri"/>
                <w:sz w:val="22"/>
              </w:rPr>
              <w:t>Implied ~+3.5% based on FY cons. RevPAR of $234.08 vs. FY 2025 actual</w:t>
            </w:r>
          </w:p>
        </w:tc>
        <w:tc>
          <w:tcPr>
            <w:tcW w:type="dxa" w:w="1728"/>
          </w:tcPr>
          <w:p>
            <w:r>
              <w:rPr>
                <w:rFonts w:ascii="Calibri" w:hAnsi="Calibri"/>
                <w:sz w:val="22"/>
              </w:rPr>
              <w:t>↑ Raised at Q1 earnings; +100 bps improvement at midpoint vs. prior guidance. No post-earnings revision.</w:t>
            </w:r>
          </w:p>
        </w:tc>
      </w:tr>
      <w:tr>
        <w:tc>
          <w:tcPr>
            <w:tcW w:type="dxa" w:w="1728"/>
          </w:tcPr>
          <w:p>
            <w:r>
              <w:rPr>
                <w:rFonts w:ascii="Calibri" w:hAnsi="Calibri"/>
                <w:sz w:val="22"/>
              </w:rPr>
              <w:t>Comparable Hotel Total RevPAR Growth (FY 2026)</w:t>
            </w:r>
          </w:p>
        </w:tc>
        <w:tc>
          <w:tcPr>
            <w:tcW w:type="dxa" w:w="1728"/>
          </w:tcPr>
          <w:p>
            <w:r>
              <w:rPr>
                <w:rFonts w:ascii="Calibri" w:hAnsi="Calibri"/>
                <w:sz w:val="22"/>
              </w:rPr>
              <w:t>+3.5% to +5.0% YoY (midpoint +4.25%)</w:t>
            </w:r>
          </w:p>
        </w:tc>
        <w:tc>
          <w:tcPr>
            <w:tcW w:type="dxa" w:w="1728"/>
          </w:tcPr>
          <w:p>
            <w:r>
              <w:rPr>
                <w:rFonts w:ascii="Calibri" w:hAnsi="Calibri"/>
                <w:sz w:val="22"/>
              </w:rPr>
              <w:t>—</w:t>
            </w:r>
          </w:p>
        </w:tc>
        <w:tc>
          <w:tcPr>
            <w:tcW w:type="dxa" w:w="1728"/>
          </w:tcPr>
          <w:p>
            <w:r>
              <w:rPr>
                <w:rFonts w:ascii="Calibri" w:hAnsi="Calibri"/>
                <w:sz w:val="22"/>
              </w:rPr>
              <w:t>N/A — not separately tracked in VA consensus</w:t>
            </w:r>
          </w:p>
        </w:tc>
        <w:tc>
          <w:tcPr>
            <w:tcW w:type="dxa" w:w="1728"/>
          </w:tcPr>
          <w:p>
            <w:r>
              <w:rPr>
                <w:rFonts w:ascii="Calibri" w:hAnsi="Calibri"/>
                <w:sz w:val="22"/>
              </w:rPr>
              <w:t>↑ Raised at Q1 earnings alongside RevPAR guidance. No post-earnings revision.</w:t>
            </w:r>
          </w:p>
        </w:tc>
      </w:tr>
      <w:tr>
        <w:tc>
          <w:tcPr>
            <w:tcW w:type="dxa" w:w="1728"/>
          </w:tcPr>
          <w:p>
            <w:r>
              <w:rPr>
                <w:rFonts w:ascii="Calibri" w:hAnsi="Calibri"/>
                <w:sz w:val="22"/>
              </w:rPr>
              <w:t>Adjusted EBITDAre (FY 2026)</w:t>
            </w:r>
          </w:p>
        </w:tc>
        <w:tc>
          <w:tcPr>
            <w:tcW w:type="dxa" w:w="1728"/>
          </w:tcPr>
          <w:p>
            <w:r>
              <w:rPr>
                <w:rFonts w:ascii="Calibri" w:hAnsi="Calibri"/>
                <w:sz w:val="22"/>
              </w:rPr>
              <w:t>Midpoint $1,810M (range not specified in transcript)</w:t>
            </w:r>
          </w:p>
        </w:tc>
        <w:tc>
          <w:tcPr>
            <w:tcW w:type="dxa" w:w="1728"/>
          </w:tcPr>
          <w:p>
            <w:r>
              <w:rPr>
                <w:rFonts w:ascii="Calibri" w:hAnsi="Calibri"/>
                <w:sz w:val="22"/>
              </w:rPr>
              <w:t>—</w:t>
            </w:r>
          </w:p>
        </w:tc>
        <w:tc>
          <w:tcPr>
            <w:tcW w:type="dxa" w:w="1728"/>
          </w:tcPr>
          <w:p>
            <w:r>
              <w:rPr>
                <w:rFonts w:ascii="Calibri" w:hAnsi="Calibri"/>
                <w:sz w:val="22"/>
              </w:rPr>
              <w:t>$1,814M</w:t>
            </w:r>
          </w:p>
        </w:tc>
        <w:tc>
          <w:tcPr>
            <w:tcW w:type="dxa" w:w="1728"/>
          </w:tcPr>
          <w:p>
            <w:r>
              <w:rPr>
                <w:rFonts w:ascii="Calibri" w:hAnsi="Calibri"/>
                <w:sz w:val="22"/>
              </w:rPr>
              <w:t>↑ Raised at Q1 earnings; +$40M / +2.3% vs. prior guidance midpoint. Consensus sits $4M above midpoint. No post-earnings revision.</w:t>
            </w:r>
          </w:p>
        </w:tc>
      </w:tr>
      <w:tr>
        <w:tc>
          <w:tcPr>
            <w:tcW w:type="dxa" w:w="1728"/>
          </w:tcPr>
          <w:p>
            <w:r>
              <w:rPr>
                <w:rFonts w:ascii="Calibri" w:hAnsi="Calibri"/>
                <w:sz w:val="22"/>
              </w:rPr>
              <w:t>World Cup RevPAR Lift (FY 2026)</w:t>
            </w:r>
          </w:p>
        </w:tc>
        <w:tc>
          <w:tcPr>
            <w:tcW w:type="dxa" w:w="1728"/>
          </w:tcPr>
          <w:p>
            <w:r>
              <w:rPr>
                <w:rFonts w:ascii="Calibri" w:hAnsi="Calibri"/>
                <w:sz w:val="22"/>
              </w:rPr>
              <w:t>~60 bps gross lift; ~40 bps net (after inauguration headwind); ~2/3 in Q2, ~1/3 in Q3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Bookings heavily last-minute (40% in final week before matches) — actual capture is the key Q2 wildcard.</w:t>
            </w:r>
          </w:p>
        </w:tc>
      </w:tr>
      <w:tr>
        <w:tc>
          <w:tcPr>
            <w:tcW w:type="dxa" w:w="1728"/>
          </w:tcPr>
          <w:p>
            <w:r>
              <w:rPr>
                <w:rFonts w:ascii="Calibri" w:hAnsi="Calibri"/>
                <w:sz w:val="22"/>
              </w:rPr>
              <w:t>Maui EBITDA Contribution (FY 2026)</w:t>
            </w:r>
          </w:p>
        </w:tc>
        <w:tc>
          <w:tcPr>
            <w:tcW w:type="dxa" w:w="1728"/>
          </w:tcPr>
          <w:p>
            <w:r>
              <w:rPr>
                <w:rFonts w:ascii="Calibri" w:hAnsi="Calibri"/>
                <w:sz w:val="22"/>
              </w:rPr>
              <w:t>~35 bps contribution to FY RevPAR growth; EBITDA target maintained despite Kona storm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Maintained at Q1 earnings despite storm disruption. Positive signal on resilience.</w:t>
            </w:r>
          </w:p>
        </w:tc>
      </w:tr>
      <w:tr>
        <w:tc>
          <w:tcPr>
            <w:tcW w:type="dxa" w:w="1728"/>
          </w:tcPr>
          <w:p>
            <w:r>
              <w:rPr>
                <w:rFonts w:ascii="Calibri" w:hAnsi="Calibri"/>
                <w:sz w:val="22"/>
              </w:rPr>
              <w:t>Q2 2026 RevPAR Growth Cadence</w:t>
            </w:r>
          </w:p>
        </w:tc>
        <w:tc>
          <w:tcPr>
            <w:tcW w:type="dxa" w:w="1728"/>
          </w:tcPr>
          <w:p>
            <w:r>
              <w:rPr>
                <w:rFonts w:ascii="Calibri" w:hAnsi="Calibri"/>
                <w:sz w:val="22"/>
              </w:rPr>
              <w:t>Similar to Q1 2026 (~5.6% YoY), driven by World Cup</w:t>
            </w:r>
          </w:p>
        </w:tc>
        <w:tc>
          <w:tcPr>
            <w:tcW w:type="dxa" w:w="1728"/>
          </w:tcPr>
          <w:p>
            <w:r>
              <w:rPr>
                <w:rFonts w:ascii="Calibri" w:hAnsi="Calibri"/>
                <w:sz w:val="22"/>
              </w:rPr>
              <w:t>—</w:t>
            </w:r>
          </w:p>
        </w:tc>
        <w:tc>
          <w:tcPr>
            <w:tcW w:type="dxa" w:w="1728"/>
          </w:tcPr>
          <w:p>
            <w:r>
              <w:rPr>
                <w:rFonts w:ascii="Calibri" w:hAnsi="Calibri"/>
                <w:sz w:val="22"/>
              </w:rPr>
              <w:t>Consensus ~+3.5% YoY (comparable basis)</w:t>
            </w:r>
          </w:p>
        </w:tc>
        <w:tc>
          <w:tcPr>
            <w:tcW w:type="dxa" w:w="1728"/>
          </w:tcPr>
          <w:p>
            <w:r>
              <w:rPr>
                <w:rFonts w:ascii="Calibri" w:hAnsi="Calibri"/>
                <w:sz w:val="22"/>
              </w:rPr>
              <w:t>Consensus appears conservative vs. management's "similar to Q1" language. April RevPAR expected +4.4% YoY per management.</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up modestly since the Q1 print, tracking the guidance raise but not fully pricing in a second consecutive beat — the gap between consensus and guidance midpoint is narrow, suggesting limited cushion if execution disappoints but also limited downside risk if results are in-line.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Comparable RevPAR — Q2 2026</w:t>
            </w:r>
          </w:p>
        </w:tc>
        <w:tc>
          <w:tcPr>
            <w:tcW w:type="dxa" w:w="1080"/>
          </w:tcPr>
          <w:p>
            <w:r>
              <w:rPr>
                <w:rFonts w:ascii="Calibri" w:hAnsi="Calibri"/>
                <w:sz w:val="22"/>
              </w:rPr>
              <w:t>$248.98</w:t>
            </w:r>
          </w:p>
        </w:tc>
        <w:tc>
          <w:tcPr>
            <w:tcW w:type="dxa" w:w="1080"/>
          </w:tcPr>
          <w:p>
            <w:r>
              <w:rPr>
                <w:rFonts w:ascii="Calibri" w:hAnsi="Calibri"/>
                <w:sz w:val="22"/>
              </w:rPr>
              <w:t>$248.07</w:t>
            </w:r>
          </w:p>
        </w:tc>
        <w:tc>
          <w:tcPr>
            <w:tcW w:type="dxa" w:w="1080"/>
          </w:tcPr>
          <w:p>
            <w:r>
              <w:rPr>
                <w:rFonts w:ascii="Calibri" w:hAnsi="Calibri"/>
                <w:sz w:val="22"/>
              </w:rPr>
              <w:t>−0.4%</w:t>
            </w:r>
          </w:p>
        </w:tc>
        <w:tc>
          <w:tcPr>
            <w:tcW w:type="dxa" w:w="1080"/>
          </w:tcPr>
          <w:p>
            <w:r>
              <w:rPr>
                <w:rFonts w:ascii="Calibri" w:hAnsi="Calibri"/>
                <w:sz w:val="22"/>
              </w:rPr>
              <w:t>"Similar to Q1" (~+5% YoY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 ~+3.5% vs. mgmt. "similar to Q1" language — appears conservative</w:t>
            </w:r>
          </w:p>
        </w:tc>
      </w:tr>
      <w:tr>
        <w:tc>
          <w:tcPr>
            <w:tcW w:type="dxa" w:w="1080"/>
          </w:tcPr>
          <w:p>
            <w:r>
              <w:rPr>
                <w:rFonts w:ascii="Calibri" w:hAnsi="Calibri"/>
                <w:sz w:val="22"/>
              </w:rPr>
              <w:t>Comparable RevPAR — FY 2026</w:t>
            </w:r>
          </w:p>
        </w:tc>
        <w:tc>
          <w:tcPr>
            <w:tcW w:type="dxa" w:w="1080"/>
          </w:tcPr>
          <w:p>
            <w:r>
              <w:rPr>
                <w:rFonts w:ascii="Calibri" w:hAnsi="Calibri"/>
                <w:sz w:val="22"/>
              </w:rPr>
              <w:t>$233.08</w:t>
            </w:r>
          </w:p>
        </w:tc>
        <w:tc>
          <w:tcPr>
            <w:tcW w:type="dxa" w:w="1080"/>
          </w:tcPr>
          <w:p>
            <w:r>
              <w:rPr>
                <w:rFonts w:ascii="Calibri" w:hAnsi="Calibri"/>
                <w:sz w:val="22"/>
              </w:rPr>
              <w:t>$233.76</w:t>
            </w:r>
          </w:p>
        </w:tc>
        <w:tc>
          <w:tcPr>
            <w:tcW w:type="dxa" w:w="1080"/>
          </w:tcPr>
          <w:p>
            <w:r>
              <w:rPr>
                <w:rFonts w:ascii="Calibri" w:hAnsi="Calibri"/>
                <w:sz w:val="22"/>
              </w:rPr>
              <w:t>+0.3%</w:t>
            </w:r>
          </w:p>
        </w:tc>
        <w:tc>
          <w:tcPr>
            <w:tcW w:type="dxa" w:w="1080"/>
          </w:tcPr>
          <w:p>
            <w:r>
              <w:rPr>
                <w:rFonts w:ascii="Calibri" w:hAnsi="Calibri"/>
                <w:sz w:val="22"/>
              </w:rPr>
              <w:t>+3.0% to +4.5% YoY (midpoint +3.75%)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Adjusted EBITDAre — Q2 2026</w:t>
            </w:r>
          </w:p>
        </w:tc>
        <w:tc>
          <w:tcPr>
            <w:tcW w:type="dxa" w:w="1080"/>
          </w:tcPr>
          <w:p>
            <w:r>
              <w:rPr>
                <w:rFonts w:ascii="Calibri" w:hAnsi="Calibri"/>
                <w:sz w:val="22"/>
              </w:rPr>
              <w:t>$504M</w:t>
            </w:r>
          </w:p>
        </w:tc>
        <w:tc>
          <w:tcPr>
            <w:tcW w:type="dxa" w:w="1080"/>
          </w:tcPr>
          <w:p>
            <w:r>
              <w:rPr>
                <w:rFonts w:ascii="Calibri" w:hAnsi="Calibri"/>
                <w:sz w:val="22"/>
              </w:rPr>
              <w:t>$518M</w:t>
            </w:r>
          </w:p>
        </w:tc>
        <w:tc>
          <w:tcPr>
            <w:tcW w:type="dxa" w:w="1080"/>
          </w:tcPr>
          <w:p>
            <w:r>
              <w:rPr>
                <w:rFonts w:ascii="Calibri" w:hAnsi="Calibri"/>
                <w:sz w:val="22"/>
              </w:rPr>
              <w:t>+2.8%</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Adjusted EBITDAre — FY 2026</w:t>
            </w:r>
          </w:p>
        </w:tc>
        <w:tc>
          <w:tcPr>
            <w:tcW w:type="dxa" w:w="1080"/>
          </w:tcPr>
          <w:p>
            <w:r>
              <w:rPr>
                <w:rFonts w:ascii="Calibri" w:hAnsi="Calibri"/>
                <w:sz w:val="22"/>
              </w:rPr>
              <w:t>$1,787M</w:t>
            </w:r>
          </w:p>
        </w:tc>
        <w:tc>
          <w:tcPr>
            <w:tcW w:type="dxa" w:w="1080"/>
          </w:tcPr>
          <w:p>
            <w:r>
              <w:rPr>
                <w:rFonts w:ascii="Calibri" w:hAnsi="Calibri"/>
                <w:sz w:val="22"/>
              </w:rPr>
              <w:t>$1,814M</w:t>
            </w:r>
          </w:p>
        </w:tc>
        <w:tc>
          <w:tcPr>
            <w:tcW w:type="dxa" w:w="1080"/>
          </w:tcPr>
          <w:p>
            <w:r>
              <w:rPr>
                <w:rFonts w:ascii="Calibri" w:hAnsi="Calibri"/>
                <w:sz w:val="22"/>
              </w:rPr>
              <w:t>+1.5%</w:t>
            </w:r>
          </w:p>
        </w:tc>
        <w:tc>
          <w:tcPr>
            <w:tcW w:type="dxa" w:w="1080"/>
          </w:tcPr>
          <w:p>
            <w:r>
              <w:rPr>
                <w:rFonts w:ascii="Calibri" w:hAnsi="Calibri"/>
                <w:sz w:val="22"/>
              </w:rPr>
              <w:t>Midpoint $1,810M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AFFO per Share — Q2 2026</w:t>
            </w:r>
          </w:p>
        </w:tc>
        <w:tc>
          <w:tcPr>
            <w:tcW w:type="dxa" w:w="1080"/>
          </w:tcPr>
          <w:p>
            <w:r>
              <w:rPr>
                <w:rFonts w:ascii="Calibri" w:hAnsi="Calibri"/>
                <w:sz w:val="22"/>
              </w:rPr>
              <w:t>$0.615</w:t>
            </w:r>
          </w:p>
        </w:tc>
        <w:tc>
          <w:tcPr>
            <w:tcW w:type="dxa" w:w="1080"/>
          </w:tcPr>
          <w:p>
            <w:r>
              <w:rPr>
                <w:rFonts w:ascii="Calibri" w:hAnsi="Calibri"/>
                <w:sz w:val="22"/>
              </w:rPr>
              <w:t>$0.619</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AFFO per Share — FY 2026</w:t>
            </w:r>
          </w:p>
        </w:tc>
        <w:tc>
          <w:tcPr>
            <w:tcW w:type="dxa" w:w="1080"/>
          </w:tcPr>
          <w:p>
            <w:r>
              <w:rPr>
                <w:rFonts w:ascii="Calibri" w:hAnsi="Calibri"/>
                <w:sz w:val="22"/>
              </w:rPr>
              <w:t>$2.210</w:t>
            </w:r>
          </w:p>
        </w:tc>
        <w:tc>
          <w:tcPr>
            <w:tcW w:type="dxa" w:w="1080"/>
          </w:tcPr>
          <w:p>
            <w:r>
              <w:rPr>
                <w:rFonts w:ascii="Calibri" w:hAnsi="Calibri"/>
                <w:sz w:val="22"/>
              </w:rPr>
              <w:t>$2.171</w:t>
            </w:r>
          </w:p>
        </w:tc>
        <w:tc>
          <w:tcPr>
            <w:tcW w:type="dxa" w:w="1080"/>
          </w:tcPr>
          <w:p>
            <w:r>
              <w:rPr>
                <w:rFonts w:ascii="Calibri" w:hAnsi="Calibri"/>
                <w:sz w:val="22"/>
              </w:rPr>
              <w:t>−1.8%</w:t>
            </w:r>
          </w:p>
        </w:tc>
        <w:tc>
          <w:tcPr>
            <w:tcW w:type="dxa" w:w="1080"/>
          </w:tcPr>
          <w:p>
            <w:r>
              <w:rPr>
                <w:rFonts w:ascii="Calibri" w:hAnsi="Calibri"/>
                <w:sz w:val="22"/>
              </w:rPr>
              <w:t>N/A (no per-share FY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notable revision since Q1 earnings is the +2.8% upward move in Q2 2026 Adjusted EBITDAre consensus (from $504M to $518M), which reflects the street incorporating the raised guidance and World Cup tailwinds. FY 2026 EBITDAre consensus of $1,814M sits just $4M above the guidance midpoint — a tight gap that leaves room for upside if Q2 execution matches the pattern of the prior seven quarters. The slight decline in FY AFFO per share consensus (−1.8%) likely reflects dilution adjustments post-special dividend rather than a deteriorating earnings view.</w:t>
      </w:r>
    </w:p>
    <w:p>
      <w:r>
        <w:rPr>
          <w:rFonts w:ascii="Calibri" w:hAnsi="Calibri"/>
          <w:i/>
          <w:color w:val="525866"/>
          <w:sz w:val="22"/>
        </w:rPr>
        <w:t>Source: Visible Alpha consensus and actuals data. Baseline as of May 12, 2026 (5 trading days post Q1 earnings on May 6,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HST has significantly outperformed both the real estate sector (IYR) and the S&amp;P 500 since Q1 earnings, with the +15.2% gain driven by a combination of estimate revisions (EBITDAre consensus up ~$27M) and multiple re-rating as the market gained confidence in the World Cup demand thesis and management's capital allocation credibility.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HST vs. IYR (iShares U.S. Real Estate ETF) vs. S&amp;P 500 (SPY) — Indexed to 100 at Q1 2026 Earnings Date (May 6, 2026). Source: Yahoo Finance / Stock Price Data.</w:t>
      </w:r>
    </w:p>
    <w:p>
      <w:r>
        <w:rPr>
          <w:rFonts w:ascii="Calibri" w:hAnsi="Calibri"/>
          <w:color w:val="525866"/>
          <w:sz w:val="22"/>
        </w:rPr>
        <w:t xml:space="preserve">Since the Q1 2026 earnings release on May 6, 2026, HST has gained +15.2% vs. IYR +1.8% and SPY +5.1% (through August 5, 2026). The outperformance was broad-based across the period, with HST accelerating in late May through mid-June as World Cup demand data came in ahead of expectations and analyst price targets were revised higher. Key events: (1) </w:t>
      </w:r>
      <w:r>
        <w:rPr>
          <w:rFonts w:ascii="Calibri" w:hAnsi="Calibri"/>
          <w:b/>
          <w:color w:val="525866"/>
          <w:sz w:val="22"/>
        </w:rPr>
        <w:t>Q1 2026 Earnings (May 6)</w:t>
      </w:r>
      <w:r>
        <w:rPr>
          <w:rFonts w:ascii="Calibri" w:hAnsi="Calibri"/>
          <w:color w:val="525866"/>
          <w:sz w:val="22"/>
        </w:rPr>
        <w:t xml:space="preserve"> — beat on AFFO and EBITDAre, guidance raised, special dividend declared; stock opened higher. (2) </w:t>
      </w:r>
      <w:r>
        <w:rPr>
          <w:rFonts w:ascii="Calibri" w:hAnsi="Calibri"/>
          <w:b/>
          <w:color w:val="525866"/>
          <w:sz w:val="22"/>
        </w:rPr>
        <w:t>Q2 Earnings Date Announced (June 18)</w:t>
      </w:r>
      <w:r>
        <w:rPr>
          <w:rFonts w:ascii="Calibri" w:hAnsi="Calibri"/>
          <w:color w:val="525866"/>
          <w:sz w:val="22"/>
        </w:rPr>
        <w:t xml:space="preserve"> — confirmed August 5 release date, no material new information. (3) </w:t>
      </w:r>
      <w:r>
        <w:rPr>
          <w:rFonts w:ascii="Calibri" w:hAnsi="Calibri"/>
          <w:b/>
          <w:color w:val="525866"/>
          <w:sz w:val="22"/>
        </w:rPr>
        <w:t>Analyst PT Raises (July 21–23)</w:t>
      </w:r>
      <w:r>
        <w:rPr>
          <w:rFonts w:ascii="Calibri" w:hAnsi="Calibri"/>
          <w:color w:val="525866"/>
          <w:sz w:val="22"/>
        </w:rPr>
        <w:t xml:space="preserve"> — Wells Fargo raised PT to $26 (Overweight), JP Morgan raised to $25 (Neutral), Barclays raised to $24 (Equal-Weight), Ladenburg Thalmann raised to $28 (Buy), UBS raised to $23 (Neutral) — broad-based PT revision cycle following peer hotel REIT Q2 results from PEB and CLDT. The stock pulled back modestly in late June/early July (from ~$25 to ~$23) before recovering as Q3 demand data from peers confirmed the positive lodging cycle thesis.</w:t>
      </w:r>
    </w:p>
    <w:p>
      <w:r>
        <w:br w:type="page"/>
      </w:r>
    </w:p>
    <w:p>
      <w:pPr>
        <w:pStyle w:val="Heading1"/>
        <w:pBdr>
          <w:bottom w:val="single" w:sz="4" w:space="1" w:color="FB9120"/>
        </w:pBdr>
      </w:pPr>
      <w:r>
        <w:rPr>
          <w:rFonts w:ascii="Calibri" w:hAnsi="Calibri"/>
          <w:b/>
          <w:color w:val="3B4259"/>
          <w:sz w:val="40"/>
        </w:rPr>
        <w:t>6. Peer Commentaries — Q2 2026 Read-Through</w:t>
      </w:r>
    </w:p>
    <w:p>
      <w:r>
        <w:rPr>
          <w:rFonts w:ascii="Calibri" w:hAnsi="Calibri"/>
          <w:b/>
          <w:color w:val="525866"/>
          <w:sz w:val="22"/>
        </w:rPr>
        <w:t xml:space="preserve">Key Takeaway: </w:t>
      </w:r>
      <w:r>
        <w:rPr>
          <w:rFonts w:ascii="Calibri" w:hAnsi="Calibri"/>
          <w:color w:val="525866"/>
          <w:sz w:val="22"/>
        </w:rPr>
        <w:t>Both CLDT (reported August 4) and PEB (reported July 30) delivered strong Q2 2026 beats with raised guidance, confirming the positive lodging demand environment heading into HST's print — the read-through is broadly positive for RevPAR, business transient, and margin, with the key nuance being that World Cup net EBITDA benefit was modest (largely offset by F&amp;B mix shift) and convention-heavy markets were a drag.</w:t>
      </w:r>
    </w:p>
    <w:p>
      <w:r>
        <w:rPr>
          <w:rFonts w:ascii="Calibri" w:hAnsi="Calibri"/>
          <w:i/>
          <w:color w:val="525866"/>
          <w:sz w:val="22"/>
        </w:rPr>
        <w:t>Note: Only Q2 2026 earnings calls (reporting on the current quarter) are included below. Q1 2026 peer calls are excluded as they reported on a prior period.</w:t>
      </w:r>
    </w:p>
    <w:p>
      <w:pPr>
        <w:pStyle w:val="Heading2"/>
      </w:pPr>
      <w:r>
        <w:rPr>
          <w:rFonts w:ascii="Calibri" w:hAnsi="Calibri"/>
          <w:b/>
          <w:color w:val="3B4259"/>
          <w:sz w:val="28"/>
        </w:rPr>
        <w:t>Chatham Lodging Trust (CLDT) — Q2 2026 Earnings Call (August 4, 2026)</w:t>
      </w:r>
    </w:p>
    <w:p>
      <w:r>
        <w:rPr>
          <w:rFonts w:ascii="Calibri" w:hAnsi="Calibri"/>
          <w:b/>
          <w:color w:val="525866"/>
          <w:sz w:val="22"/>
        </w:rPr>
        <w:t xml:space="preserve">Relevance to HST: </w:t>
      </w:r>
      <w:r>
        <w:rPr>
          <w:rFonts w:ascii="Calibri" w:hAnsi="Calibri"/>
          <w:color w:val="525866"/>
          <w:sz w:val="22"/>
        </w:rPr>
        <w:t>CLDT is an upscale/extended-stay hotel REIT with heavy Silicon Valley and business transient exposure. Its Q2 results are a direct read-through on corporate demand trends, World Cup impact, and the lodging upcycle thesis that underpins HST's 2026 setup.</w:t>
      </w:r>
    </w:p>
    <w:p>
      <w:pPr>
        <w:pStyle w:val="ListBullet"/>
        <w:ind w:left="360" w:hanging="360"/>
      </w:pPr>
      <w:r>
        <w:rPr>
          <w:rFonts w:ascii="Calibri" w:hAnsi="Calibri"/>
          <w:b/>
          <w:color w:val="525866"/>
          <w:sz w:val="22"/>
        </w:rPr>
        <w:t xml:space="preserve">Overall RevPAR: </w:t>
      </w:r>
      <w:r>
        <w:rPr>
          <w:rFonts w:ascii="Calibri" w:hAnsi="Calibri"/>
          <w:color w:val="525866"/>
          <w:sz w:val="22"/>
        </w:rPr>
        <w:t xml:space="preserve">CLDT Q2 RevPAR grew +3.3%, exceeding expectations, with June RevPAR up +8.7% — acceleration through the quarter. July RevPAR surged +9.7%, with June and July RevPAR of $175 and $169 representing all-time highs for those months. </w:t>
      </w:r>
      <w:r>
        <w:rPr>
          <w:rFonts w:ascii="Calibri" w:hAnsi="Calibri"/>
          <w:b/>
          <w:color w:val="525866"/>
          <w:sz w:val="22"/>
        </w:rPr>
        <w:t>HST read-through: Positive — confirms broad demand acceleration into summer, supportive of HST's Q2 RevPAR consensus of ~$248.</w:t>
      </w:r>
    </w:p>
    <w:p>
      <w:pPr>
        <w:pStyle w:val="ListBullet"/>
        <w:ind w:left="360" w:hanging="360"/>
      </w:pPr>
      <w:r>
        <w:rPr>
          <w:rFonts w:ascii="Calibri" w:hAnsi="Calibri"/>
          <w:b/>
          <w:color w:val="525866"/>
          <w:sz w:val="22"/>
        </w:rPr>
        <w:t xml:space="preserve">Business Transient Surge: </w:t>
      </w:r>
      <w:r>
        <w:rPr>
          <w:rFonts w:ascii="Calibri" w:hAnsi="Calibri"/>
          <w:color w:val="525866"/>
          <w:sz w:val="22"/>
        </w:rPr>
        <w:t xml:space="preserve">CLDT management noted business travel is "accelerating at a faster pace" than prior years, echoing Delta and United reporting corporate travel up 20–30% with close-in bookings increasing. Small-to-medium businesses (SMBs) showing surging recovery with occupancy gains and rate growth outstripping large corporates. Hilton confirmed "the biggest single change over the last couple of quarters is strong growth in midweek business transient travel" from SMBs. </w:t>
      </w:r>
      <w:r>
        <w:rPr>
          <w:rFonts w:ascii="Calibri" w:hAnsi="Calibri"/>
          <w:b/>
          <w:color w:val="525866"/>
          <w:sz w:val="22"/>
        </w:rPr>
        <w:t>HST read-through: Positive — HST's luxury/upper-upscale portfolio benefits from corporate transient recovery; management cited consulting, technology, and financial services as key drivers.</w:t>
      </w:r>
    </w:p>
    <w:p>
      <w:pPr>
        <w:pStyle w:val="ListBullet"/>
        <w:ind w:left="360" w:hanging="360"/>
      </w:pPr>
      <w:r>
        <w:rPr>
          <w:rFonts w:ascii="Calibri" w:hAnsi="Calibri"/>
          <w:b/>
          <w:color w:val="525866"/>
          <w:sz w:val="22"/>
        </w:rPr>
        <w:t xml:space="preserve">Silicon Valley Strength: </w:t>
      </w:r>
      <w:r>
        <w:rPr>
          <w:rFonts w:ascii="Calibri" w:hAnsi="Calibri"/>
          <w:color w:val="525866"/>
          <w:sz w:val="22"/>
        </w:rPr>
        <w:t xml:space="preserve">CLDT's Silicon Valley portfolio (17% of EBITDA) saw Q2 RevPAR +7%, with ADR up 10% to a post-pandemic quarterly high of $212. Double-digit demand growth from Applied Materials, Palo Alto Networks, Nvidia, and Google. July RevPAR at four Silicon Valley hotels accelerated to +26%, with two Sunnyvale hotels up +41%. </w:t>
      </w:r>
      <w:r>
        <w:rPr>
          <w:rFonts w:ascii="Calibri" w:hAnsi="Calibri"/>
          <w:b/>
          <w:color w:val="525866"/>
          <w:sz w:val="22"/>
        </w:rPr>
        <w:t>HST read-through: Positive — HST has significant San Francisco/Bay Area exposure; management cited AI-related demand as a key driver of San Francisco's recovery.</w:t>
      </w:r>
    </w:p>
    <w:p>
      <w:pPr>
        <w:pStyle w:val="ListBullet"/>
        <w:ind w:left="360" w:hanging="360"/>
      </w:pPr>
      <w:r>
        <w:rPr>
          <w:rFonts w:ascii="Calibri" w:hAnsi="Calibri"/>
          <w:b/>
          <w:color w:val="525866"/>
          <w:sz w:val="22"/>
        </w:rPr>
        <w:t xml:space="preserve">World Cup Impact: </w:t>
      </w:r>
      <w:r>
        <w:rPr>
          <w:rFonts w:ascii="Calibri" w:hAnsi="Calibri"/>
          <w:color w:val="525866"/>
          <w:sz w:val="22"/>
        </w:rPr>
        <w:t xml:space="preserve">Five of CLDT's 39 hotels benefited from World Cup demand; June RevPAR at those hotels up ~12%. However, the overall portfolio impact was only 40 bps for the quarter — RevPAR was still +3% excluding World Cup. </w:t>
      </w:r>
      <w:r>
        <w:rPr>
          <w:rFonts w:ascii="Calibri" w:hAnsi="Calibri"/>
          <w:b/>
          <w:color w:val="525866"/>
          <w:sz w:val="22"/>
        </w:rPr>
        <w:t>HST read-through: Nuanced — World Cup benefit was real but modest at the portfolio level. HST has World Cup exposure in ~10 markets (led by New York and Miami), so the gross impact should be larger, but net EBITDA benefit may be partially offset by F&amp;B mix shift (as PEB noted).</w:t>
      </w:r>
    </w:p>
    <w:p>
      <w:pPr>
        <w:pStyle w:val="ListBullet"/>
        <w:ind w:left="360" w:hanging="360"/>
      </w:pPr>
      <w:r>
        <w:rPr>
          <w:rFonts w:ascii="Calibri" w:hAnsi="Calibri"/>
          <w:b/>
          <w:color w:val="525866"/>
          <w:sz w:val="22"/>
        </w:rPr>
        <w:t xml:space="preserve">Margin Expansion: </w:t>
      </w:r>
      <w:r>
        <w:rPr>
          <w:rFonts w:ascii="Calibri" w:hAnsi="Calibri"/>
          <w:color w:val="525866"/>
          <w:sz w:val="22"/>
        </w:rPr>
        <w:t xml:space="preserve">CLDT achieved GOP margin of 46.8% and hotel EBITDA margin of 40.8% in Q2, with hotel EBITDA margins up 220 bps YoY (330 bps ex-workers' comp benefit). Department expenses down ~1% on a cost-per-room basis; all hotel operating expenses up only ~2% CPR. Occupied rooms in Q2 up 13% over Q1 with headcount only up 4%. Employee pay increases averaged ~2.5%. </w:t>
      </w:r>
      <w:r>
        <w:rPr>
          <w:rFonts w:ascii="Calibri" w:hAnsi="Calibri"/>
          <w:b/>
          <w:color w:val="525866"/>
          <w:sz w:val="22"/>
        </w:rPr>
        <w:t>HST read-through: Positive — confirms the productivity-driven margin expansion thesis that has driven HST's consistent EBITDA beats.</w:t>
      </w:r>
    </w:p>
    <w:p>
      <w:pPr>
        <w:pStyle w:val="ListBullet"/>
        <w:ind w:left="360" w:hanging="360"/>
      </w:pPr>
      <w:r>
        <w:rPr>
          <w:rFonts w:ascii="Calibri" w:hAnsi="Calibri"/>
          <w:b/>
          <w:color w:val="525866"/>
          <w:sz w:val="22"/>
        </w:rPr>
        <w:t xml:space="preserve">Lodging Upcycle Thesis: </w:t>
      </w:r>
      <w:r>
        <w:rPr>
          <w:rFonts w:ascii="Calibri" w:hAnsi="Calibri"/>
          <w:color w:val="525866"/>
          <w:sz w:val="22"/>
        </w:rPr>
        <w:t xml:space="preserve">CLDT management stated "the lodging industry is in the early stages of a protracted upcycle" driven by supply-demand economics — construction starts at their lowest since the pandemic, with current portfolio occupancy at ~81% approaching peak levels of ~83%. </w:t>
      </w:r>
      <w:r>
        <w:rPr>
          <w:rFonts w:ascii="Calibri" w:hAnsi="Calibri"/>
          <w:b/>
          <w:color w:val="525866"/>
          <w:sz w:val="22"/>
        </w:rPr>
        <w:t>HST read-through: Positive — directly supports HST's multi-year growth narrative and management's capital allocation discipline (favoring internal renovation ROI over acquisitions).</w:t>
      </w:r>
    </w:p>
    <w:p>
      <w:pPr>
        <w:pStyle w:val="ListBullet"/>
        <w:ind w:left="360" w:hanging="360"/>
      </w:pPr>
      <w:r>
        <w:rPr>
          <w:rFonts w:ascii="Calibri" w:hAnsi="Calibri"/>
          <w:b/>
          <w:color w:val="525866"/>
          <w:sz w:val="22"/>
        </w:rPr>
        <w:t xml:space="preserve">Full Year Guidance Raised: </w:t>
      </w:r>
      <w:r>
        <w:rPr>
          <w:rFonts w:ascii="Calibri" w:hAnsi="Calibri"/>
          <w:color w:val="525866"/>
          <w:sz w:val="22"/>
        </w:rPr>
        <w:t xml:space="preserve">CLDT raised annual guidance by ~20% since start of year. FY 2026 guidance: RevPAR growth +1.5% to +3%, Adjusted EBITDA $99.2M–$102.3M, AFFO per share $1.28–$1.34. Q3 2026 RevPAR expected to increase ~4%. </w:t>
      </w:r>
      <w:r>
        <w:rPr>
          <w:rFonts w:ascii="Calibri" w:hAnsi="Calibri"/>
          <w:b/>
          <w:color w:val="525866"/>
          <w:sz w:val="22"/>
        </w:rPr>
        <w:t>HST read-through: Positive — CLDT's guidance raise pattern mirrors HST's consecutive quarterly raises.</w:t>
      </w:r>
    </w:p>
    <w:p>
      <w:pPr>
        <w:pStyle w:val="Heading2"/>
      </w:pPr>
      <w:r>
        <w:rPr>
          <w:rFonts w:ascii="Calibri" w:hAnsi="Calibri"/>
          <w:b/>
          <w:color w:val="3B4259"/>
          <w:sz w:val="28"/>
        </w:rPr>
        <w:t>Pebblebrook Hotel Trust (PEB) — Q2 2026 Earnings Call (July 30, 2026)</w:t>
      </w:r>
    </w:p>
    <w:p>
      <w:r>
        <w:rPr>
          <w:rFonts w:ascii="Calibri" w:hAnsi="Calibri"/>
          <w:b/>
          <w:color w:val="525866"/>
          <w:sz w:val="22"/>
        </w:rPr>
        <w:t xml:space="preserve">Relevance to HST: </w:t>
      </w:r>
      <w:r>
        <w:rPr>
          <w:rFonts w:ascii="Calibri" w:hAnsi="Calibri"/>
          <w:color w:val="525866"/>
          <w:sz w:val="22"/>
        </w:rPr>
        <w:t>PEB is an upper-upscale/lifestyle hotel REIT with heavy urban and resort exposure, including significant San Francisco and Los Angeles presence. Its Q2 results are the most direct read-through for HST given portfolio overlap in luxury urban and resort markets.</w:t>
      </w:r>
    </w:p>
    <w:p>
      <w:pPr>
        <w:pStyle w:val="ListBullet"/>
        <w:ind w:left="360" w:hanging="360"/>
      </w:pPr>
      <w:r>
        <w:rPr>
          <w:rFonts w:ascii="Calibri" w:hAnsi="Calibri"/>
          <w:b/>
          <w:color w:val="525866"/>
          <w:sz w:val="22"/>
        </w:rPr>
        <w:t xml:space="preserve">Strong Q2 Beat: </w:t>
      </w:r>
      <w:r>
        <w:rPr>
          <w:rFonts w:ascii="Calibri" w:hAnsi="Calibri"/>
          <w:color w:val="525866"/>
          <w:sz w:val="22"/>
        </w:rPr>
        <w:t xml:space="preserve">PEB delivered its second consecutive quarter exceeding the high end of all key earnings metrics. Portfolio-wide RevPAR +6.5%, ADR +4.7%, occupancy +130 bps to 79.4%. Nearly 3/4 of RevPAR growth came from rate — "a meaningful shift from recent quarters when occupancy gains did most of the work." Transient ADR rose &gt;12%, producing ~10% transient revenue growth. </w:t>
      </w:r>
      <w:r>
        <w:rPr>
          <w:rFonts w:ascii="Calibri" w:hAnsi="Calibri"/>
          <w:b/>
          <w:color w:val="525866"/>
          <w:sz w:val="22"/>
        </w:rPr>
        <w:t>HST read-through: Positive — rate-driven RevPAR growth at luxury/upper-upscale properties is directly applicable to HST's portfolio; confirms pricing power thesis.</w:t>
      </w:r>
    </w:p>
    <w:p>
      <w:pPr>
        <w:pStyle w:val="ListBullet"/>
        <w:ind w:left="360" w:hanging="360"/>
      </w:pPr>
      <w:r>
        <w:rPr>
          <w:rFonts w:ascii="Calibri" w:hAnsi="Calibri"/>
          <w:b/>
          <w:color w:val="525866"/>
          <w:sz w:val="22"/>
        </w:rPr>
        <w:t xml:space="preserve">San Francisco Recovery: </w:t>
      </w:r>
      <w:r>
        <w:rPr>
          <w:rFonts w:ascii="Calibri" w:hAnsi="Calibri"/>
          <w:color w:val="525866"/>
          <w:sz w:val="22"/>
        </w:rPr>
        <w:t xml:space="preserve">PEB's top urban market in Q2 was San Francisco — occupancy +~500 bps, ADR +~9%, RevPAR +16%, hotel EBITDA +24.6% with ~250 bps margin expansion. Year-to-date EBITDA at 7 San Francisco hotels up &gt;$13M or +110% vs. prior year. Snowflake and Databricks citywides in June drove demand beyond the RSA citywide shift. </w:t>
      </w:r>
      <w:r>
        <w:rPr>
          <w:rFonts w:ascii="Calibri" w:hAnsi="Calibri"/>
          <w:b/>
          <w:color w:val="525866"/>
          <w:sz w:val="22"/>
        </w:rPr>
        <w:t>HST read-through: Directly positive — HST management cited San Francisco as a key growth driver in Q1 2026, with AI-related demand as the catalyst. PEB's data confirms the recovery is real and accelerating.</w:t>
      </w:r>
    </w:p>
    <w:p>
      <w:pPr>
        <w:pStyle w:val="ListBullet"/>
        <w:ind w:left="360" w:hanging="360"/>
      </w:pPr>
      <w:r>
        <w:rPr>
          <w:rFonts w:ascii="Calibri" w:hAnsi="Calibri"/>
          <w:b/>
          <w:color w:val="525866"/>
          <w:sz w:val="22"/>
        </w:rPr>
        <w:t xml:space="preserve">World Cup: Net Benefit Modest, Mix Shift Negative for F&amp;B: </w:t>
      </w:r>
      <w:r>
        <w:rPr>
          <w:rFonts w:ascii="Calibri" w:hAnsi="Calibri"/>
          <w:color w:val="525866"/>
          <w:sz w:val="22"/>
        </w:rPr>
        <w:t xml:space="preserve">PEB estimated World Cup added $1.5M–$2.5M to room revenues (~60–100 bps RevPAR lift), but incremental demand was "largely offset by corporate group and transient business that stayed away due to higher rates and booking restrictions." The mix shift from group to transient negatively impacted F&amp;B revenues (banquet/catering declined YoY in match markets). Net hotel EBITDA benefit from World Cup estimated at only $500K–$1M — "a relatively minor benefit overall." </w:t>
      </w:r>
      <w:r>
        <w:rPr>
          <w:rFonts w:ascii="Calibri" w:hAnsi="Calibri"/>
          <w:b/>
          <w:color w:val="525866"/>
          <w:sz w:val="22"/>
        </w:rPr>
        <w:t>HST read-through: Important nuance — World Cup gross RevPAR benefit may be partially offset by F&amp;B mix shift at HST's luxury properties, which have significant banquet/catering revenue. Investors should not assume the 60 bps gross RevPAR lift translates 1:1 to EBITDA.</w:t>
      </w:r>
    </w:p>
    <w:p>
      <w:pPr>
        <w:pStyle w:val="ListBullet"/>
        <w:ind w:left="360" w:hanging="360"/>
      </w:pPr>
      <w:r>
        <w:rPr>
          <w:rFonts w:ascii="Calibri" w:hAnsi="Calibri"/>
          <w:b/>
          <w:color w:val="525866"/>
          <w:sz w:val="22"/>
        </w:rPr>
        <w:t xml:space="preserve">Demand Segments All Favorable: </w:t>
      </w:r>
      <w:r>
        <w:rPr>
          <w:rFonts w:ascii="Calibri" w:hAnsi="Calibri"/>
          <w:color w:val="525866"/>
          <w:sz w:val="22"/>
        </w:rPr>
        <w:t xml:space="preserve">PEB noted all major demand segments (group, corporate transient, leisure) grew weekdays and weekends alike. Group revenue declined ~2% due to convention rotation ("not corporate demand pullback"). Resort group room nights +18%, group revenue +19%. International travel balance improved in June — inbound travel turned positive for the first time in a while, aided by World Cup visitors. </w:t>
      </w:r>
      <w:r>
        <w:rPr>
          <w:rFonts w:ascii="Calibri" w:hAnsi="Calibri"/>
          <w:b/>
          <w:color w:val="525866"/>
          <w:sz w:val="22"/>
        </w:rPr>
        <w:t>HST read-through: Positive — confirms the broad-based demand environment management described on the Q1 call.</w:t>
      </w:r>
    </w:p>
    <w:p>
      <w:pPr>
        <w:pStyle w:val="ListBullet"/>
        <w:ind w:left="360" w:hanging="360"/>
      </w:pPr>
      <w:r>
        <w:rPr>
          <w:rFonts w:ascii="Calibri" w:hAnsi="Calibri"/>
          <w:b/>
          <w:color w:val="525866"/>
          <w:sz w:val="22"/>
        </w:rPr>
        <w:t xml:space="preserve">Q3 2026 Off to a Strong Start: </w:t>
      </w:r>
      <w:r>
        <w:rPr>
          <w:rFonts w:ascii="Calibri" w:hAnsi="Calibri"/>
          <w:color w:val="525866"/>
          <w:sz w:val="22"/>
        </w:rPr>
        <w:t xml:space="preserve">PEB reported July RevPAR on pace to grow +7% to +8% YoY (through July 25). Short-term pickup "surprised to the upside." Group pace for Q3 favorable, corporate travel growth remains strong, leisure accelerating. July 4 falling on a Saturday provided a "big lift." H2 room revenues pacing +5.5% ahead of same time last year ($10.7M advantage). </w:t>
      </w:r>
      <w:r>
        <w:rPr>
          <w:rFonts w:ascii="Calibri" w:hAnsi="Calibri"/>
          <w:b/>
          <w:color w:val="525866"/>
          <w:sz w:val="22"/>
        </w:rPr>
        <w:t>HST read-through: Positive — HST management guided Q2 RevPAR growth "similar to Q1" and H2 in low single digits; PEB's Q3 data suggests the H2 setup may be better than feared.</w:t>
      </w:r>
    </w:p>
    <w:p>
      <w:pPr>
        <w:pStyle w:val="ListBullet"/>
        <w:ind w:left="360" w:hanging="360"/>
      </w:pPr>
      <w:r>
        <w:rPr>
          <w:rFonts w:ascii="Calibri" w:hAnsi="Calibri"/>
          <w:b/>
          <w:color w:val="525866"/>
          <w:sz w:val="22"/>
        </w:rPr>
        <w:t xml:space="preserve">Margin Efficiency: </w:t>
      </w:r>
      <w:r>
        <w:rPr>
          <w:rFonts w:ascii="Calibri" w:hAnsi="Calibri"/>
          <w:color w:val="525866"/>
          <w:sz w:val="22"/>
        </w:rPr>
        <w:t xml:space="preserve">PEB converted 4.8% total revenue growth into 7.1% hotel EBITDA growth, with total expenses up only 3.8% and margins expanding 67 bps to 30.6%. Rooms expense grew only 3.1% vs. rooms revenue +6.6%. Property insurance renewal at premiums ~27% below last year ($6M lower). </w:t>
      </w:r>
      <w:r>
        <w:rPr>
          <w:rFonts w:ascii="Calibri" w:hAnsi="Calibri"/>
          <w:b/>
          <w:color w:val="525866"/>
          <w:sz w:val="22"/>
        </w:rPr>
        <w:t>HST read-through: Positive — confirms the operating leverage theme; HST has similarly demonstrated productivity-driven margin expansion.</w:t>
      </w:r>
    </w:p>
    <w:p>
      <w:pPr>
        <w:pStyle w:val="ListBullet"/>
        <w:ind w:left="360" w:hanging="360"/>
      </w:pPr>
      <w:r>
        <w:rPr>
          <w:rFonts w:ascii="Calibri" w:hAnsi="Calibri"/>
          <w:b/>
          <w:color w:val="525866"/>
          <w:sz w:val="22"/>
        </w:rPr>
        <w:t xml:space="preserve">Multi-Year Upcycle Conviction: </w:t>
      </w:r>
      <w:r>
        <w:rPr>
          <w:rFonts w:ascii="Calibri" w:hAnsi="Calibri"/>
          <w:color w:val="525866"/>
          <w:sz w:val="22"/>
        </w:rPr>
        <w:t xml:space="preserve">PEB management stated "we believe we're at the beginning of a strong multiyear up cycle for the hotel industry" — driven by supply running &lt;0.5% net growth, AI/reshoring capital investment cycle, wealth effect from baby boomer wealth transfer, and favorable holiday calendar. 2027 expected to benefit from Super Bowl in LA, Olympics pre-travel, and continued San Francisco/LA recovery. </w:t>
      </w:r>
      <w:r>
        <w:rPr>
          <w:rFonts w:ascii="Calibri" w:hAnsi="Calibri"/>
          <w:b/>
          <w:color w:val="525866"/>
          <w:sz w:val="22"/>
        </w:rPr>
        <w:t>HST read-through: Positive — directly supports HST's long-term investment thesis and management's decision to prioritize renovation ROI over acquisitions.</w:t>
      </w:r>
    </w:p>
    <w:p>
      <w:pPr>
        <w:pStyle w:val="ListBullet"/>
        <w:ind w:left="360" w:hanging="360"/>
      </w:pPr>
      <w:r>
        <w:rPr>
          <w:rFonts w:ascii="Calibri" w:hAnsi="Calibri"/>
          <w:b/>
          <w:color w:val="525866"/>
          <w:sz w:val="22"/>
        </w:rPr>
        <w:t xml:space="preserve">Full Year Guidance Raised: </w:t>
      </w:r>
      <w:r>
        <w:rPr>
          <w:rFonts w:ascii="Calibri" w:hAnsi="Calibri"/>
          <w:color w:val="525866"/>
          <w:sz w:val="22"/>
        </w:rPr>
        <w:t xml:space="preserve">PEB raised FY 2026 same-property RevPAR growth outlook to +4.5% to +5.5% (midpoint +5.0%, up 125 bps). Same-property EBITDA growth now +8.2% to +10.5% (midpoint +9.3%). Adjusted FFO per share $1.69–$1.76 (up $0.08 at midpoint). Q3 outlook: RevPAR +1% to +3%, Adj. EBITDA $92.5M–$96.5M. </w:t>
      </w:r>
      <w:r>
        <w:rPr>
          <w:rFonts w:ascii="Calibri" w:hAnsi="Calibri"/>
          <w:b/>
          <w:color w:val="525866"/>
          <w:sz w:val="22"/>
        </w:rPr>
        <w:t>HST read-through: Positive — PEB's guidance raise pattern and magnitude are consistent with what HST has been delivering.</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broad-based analyst price target upgrade cycle in late July, triggered by peer hotel REIT Q2 beats — this signals the street is gaining conviction in the lodging upcycle thesis and sets a higher bar for HST's Q2 print to sustain momentum.</w:t>
      </w:r>
    </w:p>
    <w:p>
      <w:pPr>
        <w:pStyle w:val="ListBullet"/>
        <w:ind w:left="360" w:hanging="360"/>
      </w:pPr>
      <w:r>
        <w:rPr>
          <w:rFonts w:ascii="Calibri" w:hAnsi="Calibri"/>
          <w:b/>
          <w:color w:val="525866"/>
          <w:sz w:val="22"/>
        </w:rPr>
        <w:t xml:space="preserve">August 4, 2026 — CLDT Q2 2026 Earnings Beat: </w:t>
      </w:r>
      <w:r>
        <w:rPr>
          <w:rFonts w:ascii="Calibri" w:hAnsi="Calibri"/>
          <w:color w:val="525866"/>
          <w:sz w:val="22"/>
        </w:rPr>
        <w:t>Chatham Lodging reported Q2 RevPAR +3.3% (beat), hotel EBITDA margin +220 bps, raised FY guidance by ~20% since start of year. July RevPAR +9.7%. Directly positive read-through for HST's Q2 print and H2 setup.</w:t>
      </w:r>
    </w:p>
    <w:p>
      <w:pPr>
        <w:pStyle w:val="ListBullet"/>
        <w:ind w:left="360" w:hanging="360"/>
      </w:pPr>
      <w:r>
        <w:rPr>
          <w:rFonts w:ascii="Calibri" w:hAnsi="Calibri"/>
          <w:b/>
          <w:color w:val="525866"/>
          <w:sz w:val="22"/>
        </w:rPr>
        <w:t xml:space="preserve">July 30, 2026 — PEB Q2 2026 Earnings Beat: </w:t>
      </w:r>
      <w:r>
        <w:rPr>
          <w:rFonts w:ascii="Calibri" w:hAnsi="Calibri"/>
          <w:color w:val="525866"/>
          <w:sz w:val="22"/>
        </w:rPr>
        <w:t>Pebblebrook reported Q2 RevPAR +6.5% (beat), raised FY RevPAR growth outlook to +4.5%–5.5% (midpoint +125 bps). San Francisco RevPAR +16%, hotel EBITDA +24.6%. July RevPAR pacing +7%–8%. Strongest direct read-through for HST given portfolio overlap in luxury urban and resort markets.</w:t>
      </w:r>
    </w:p>
    <w:p>
      <w:pPr>
        <w:pStyle w:val="ListBullet"/>
        <w:ind w:left="360" w:hanging="360"/>
      </w:pPr>
      <w:r>
        <w:rPr>
          <w:rFonts w:ascii="Calibri" w:hAnsi="Calibri"/>
          <w:b/>
          <w:color w:val="525866"/>
          <w:sz w:val="22"/>
        </w:rPr>
        <w:t xml:space="preserve">July 23, 2026 — Wells Fargo Raises PT to $26 (Overweight): </w:t>
      </w:r>
      <w:r>
        <w:rPr>
          <w:rFonts w:ascii="Calibri" w:hAnsi="Calibri"/>
          <w:color w:val="525866"/>
          <w:sz w:val="22"/>
        </w:rPr>
        <w:t>Analyst Cooper Clark raised price target from $25 to $26, maintaining Overweight. Reflects confidence in World Cup tailwinds and continued operational execution.</w:t>
      </w:r>
    </w:p>
    <w:p>
      <w:pPr>
        <w:pStyle w:val="ListBullet"/>
        <w:ind w:left="360" w:hanging="360"/>
      </w:pPr>
      <w:r>
        <w:rPr>
          <w:rFonts w:ascii="Calibri" w:hAnsi="Calibri"/>
          <w:b/>
          <w:color w:val="525866"/>
          <w:sz w:val="22"/>
        </w:rPr>
        <w:t xml:space="preserve">July 21, 2026 — JP Morgan Raises PT to $25 (Neutral): </w:t>
      </w:r>
      <w:r>
        <w:rPr>
          <w:rFonts w:ascii="Calibri" w:hAnsi="Calibri"/>
          <w:color w:val="525866"/>
          <w:sz w:val="22"/>
        </w:rPr>
        <w:t>Analyst Daniel Politzer raised price target from $22 to $25, maintaining Neutral. Significant PT raise (+$3) despite unchanged rating suggests improving fundamental view.</w:t>
      </w:r>
    </w:p>
    <w:p>
      <w:pPr>
        <w:pStyle w:val="ListBullet"/>
        <w:ind w:left="360" w:hanging="360"/>
      </w:pPr>
      <w:r>
        <w:rPr>
          <w:rFonts w:ascii="Calibri" w:hAnsi="Calibri"/>
          <w:b/>
          <w:color w:val="525866"/>
          <w:sz w:val="22"/>
        </w:rPr>
        <w:t xml:space="preserve">July 21, 2026 — Barclays Raises PT to $24 (Equal-Weight): </w:t>
      </w:r>
      <w:r>
        <w:rPr>
          <w:rFonts w:ascii="Calibri" w:hAnsi="Calibri"/>
          <w:color w:val="525866"/>
          <w:sz w:val="22"/>
        </w:rPr>
        <w:t>Analyst Richard Hightower raised price target from $23 to $24. Part of the broad peer-driven PT revision cycle.</w:t>
      </w:r>
    </w:p>
    <w:p>
      <w:pPr>
        <w:pStyle w:val="ListBullet"/>
        <w:ind w:left="360" w:hanging="360"/>
      </w:pPr>
      <w:r>
        <w:rPr>
          <w:rFonts w:ascii="Calibri" w:hAnsi="Calibri"/>
          <w:b/>
          <w:color w:val="525866"/>
          <w:sz w:val="22"/>
        </w:rPr>
        <w:t xml:space="preserve">~July 2026 — Ladenburg Thalmann Raises PT to $28 (Buy): </w:t>
      </w:r>
      <w:r>
        <w:rPr>
          <w:rFonts w:ascii="Calibri" w:hAnsi="Calibri"/>
          <w:color w:val="525866"/>
          <w:sz w:val="22"/>
        </w:rPr>
        <w:t>Analyst Floris Van Dijkum raised price target from $25 to $28 — the highest PT on the street. Signals strong conviction in HST's valuation discount to private market values.</w:t>
      </w:r>
    </w:p>
    <w:p>
      <w:pPr>
        <w:pStyle w:val="ListBullet"/>
        <w:ind w:left="360" w:hanging="360"/>
      </w:pPr>
      <w:r>
        <w:rPr>
          <w:rFonts w:ascii="Calibri" w:hAnsi="Calibri"/>
          <w:b/>
          <w:color w:val="525866"/>
          <w:sz w:val="22"/>
        </w:rPr>
        <w:t xml:space="preserve">~July 2026 — UBS Raises PT to $23 (Neutral): </w:t>
      </w:r>
      <w:r>
        <w:rPr>
          <w:rFonts w:ascii="Calibri" w:hAnsi="Calibri"/>
          <w:color w:val="525866"/>
          <w:sz w:val="22"/>
        </w:rPr>
        <w:t>Analyst Robin Farley raised price target from $20 to $23. Even the more cautious analysts are moving PTs higher.</w:t>
      </w:r>
    </w:p>
    <w:p>
      <w:pPr>
        <w:pStyle w:val="ListBullet"/>
        <w:ind w:left="360" w:hanging="360"/>
      </w:pPr>
      <w:r>
        <w:rPr>
          <w:rFonts w:ascii="Calibri" w:hAnsi="Calibri"/>
          <w:b/>
          <w:color w:val="525866"/>
          <w:sz w:val="22"/>
        </w:rPr>
        <w:t xml:space="preserve">June 17, 2026 — Argus Sets $27 PT: </w:t>
      </w:r>
      <w:r>
        <w:rPr>
          <w:rFonts w:ascii="Calibri" w:hAnsi="Calibri"/>
          <w:color w:val="525866"/>
          <w:sz w:val="22"/>
        </w:rPr>
        <w:t>Argus initiated/set a $27 price target, reflecting bullish view on HST's renovation ROI and capital allocation.</w:t>
      </w:r>
    </w:p>
    <w:p>
      <w:pPr>
        <w:pStyle w:val="ListBullet"/>
        <w:ind w:left="360" w:hanging="360"/>
      </w:pPr>
      <w:r>
        <w:rPr>
          <w:rFonts w:ascii="Calibri" w:hAnsi="Calibri"/>
          <w:b/>
          <w:color w:val="525866"/>
          <w:sz w:val="22"/>
        </w:rPr>
        <w:t xml:space="preserve">June 4, 2026 — Stifel Nicolaus Sets $26.25 PT: </w:t>
      </w:r>
      <w:r>
        <w:rPr>
          <w:rFonts w:ascii="Calibri" w:hAnsi="Calibri"/>
          <w:color w:val="525866"/>
          <w:sz w:val="22"/>
        </w:rPr>
        <w:t>Stifel set a $26.25 target price, consistent with the bull case on HST's discount to NAV.</w:t>
      </w:r>
    </w:p>
    <w:p>
      <w:pPr>
        <w:pStyle w:val="ListBullet"/>
        <w:ind w:left="360" w:hanging="360"/>
      </w:pPr>
      <w:r>
        <w:rPr>
          <w:rFonts w:ascii="Calibri" w:hAnsi="Calibri"/>
          <w:b/>
          <w:color w:val="525866"/>
          <w:sz w:val="22"/>
        </w:rPr>
        <w:t xml:space="preserve">May 12, 2026 — Citigroup Raises PT to $24 (Buy): </w:t>
      </w:r>
      <w:r>
        <w:rPr>
          <w:rFonts w:ascii="Calibri" w:hAnsi="Calibri"/>
          <w:color w:val="525866"/>
          <w:sz w:val="22"/>
        </w:rPr>
        <w:t>Raised from $22 to $24 following Q1 earnings beat. First post-Q1 PT revision, setting the tone for the subsequent upgrade cycle.</w:t>
      </w:r>
    </w:p>
    <w:p>
      <w:pPr>
        <w:pStyle w:val="ListBullet"/>
        <w:ind w:left="360" w:hanging="360"/>
      </w:pPr>
      <w:r>
        <w:rPr>
          <w:rFonts w:ascii="Calibri" w:hAnsi="Calibri"/>
          <w:b/>
          <w:color w:val="525866"/>
          <w:sz w:val="22"/>
        </w:rPr>
        <w:t xml:space="preserve">May 6, 2026 — Q1 2026 Earnings Beat &amp; Special Dividend: </w:t>
      </w:r>
      <w:r>
        <w:rPr>
          <w:rFonts w:ascii="Calibri" w:hAnsi="Calibri"/>
          <w:color w:val="525866"/>
          <w:sz w:val="22"/>
        </w:rPr>
        <w:t>HST reported Q1 2026 results — AFFO per share $0.67 (beat), Adjusted EBITDAre $543M (beat), full-year guidance raised across all metrics. Special dividend declared distributing Four Seasons sale proceeds to shareholders. Stock opened higher on the day of the earnings call. This is the baseline event for the current inter-earnings period.</w:t>
      </w:r>
    </w:p>
    <w:p>
      <w:pPr>
        <w:pStyle w:val="ListBullet"/>
        <w:ind w:left="360" w:hanging="360"/>
      </w:pPr>
      <w:r>
        <w:rPr>
          <w:rFonts w:ascii="Calibri" w:hAnsi="Calibri"/>
          <w:b/>
          <w:color w:val="525866"/>
          <w:sz w:val="22"/>
        </w:rPr>
        <w:t xml:space="preserve">Macro: Iran Conflict &amp; Geopolitical Uncertainty: </w:t>
      </w:r>
      <w:r>
        <w:rPr>
          <w:rFonts w:ascii="Calibri" w:hAnsi="Calibri"/>
          <w:color w:val="525866"/>
          <w:sz w:val="22"/>
        </w:rPr>
        <w:t>Management noted on the Q1 call that geopolitical events (Iran war, Mexico travel disruption) may be dampening international travel and causing travelers to stay in the U.S. — a net positive for HST's domestic luxury portfolio. PEB confirmed inbound international travel turned positive in June, aided by World Cup visitors. Risk: escalation could dampen corporate travel confidence.</w:t>
      </w:r>
    </w:p>
    <w:p>
      <w:pPr>
        <w:pStyle w:val="ListBullet"/>
        <w:ind w:left="360" w:hanging="360"/>
      </w:pPr>
      <w:r>
        <w:rPr>
          <w:rFonts w:ascii="Calibri" w:hAnsi="Calibri"/>
          <w:b/>
          <w:color w:val="525866"/>
          <w:sz w:val="22"/>
        </w:rPr>
        <w:t xml:space="preserve">Macro: Supply Constraint Thesis Strengthening: </w:t>
      </w:r>
      <w:r>
        <w:rPr>
          <w:rFonts w:ascii="Calibri" w:hAnsi="Calibri"/>
          <w:color w:val="525866"/>
          <w:sz w:val="22"/>
        </w:rPr>
        <w:t>Both CLDT and PEB management confirmed construction starts are at their lowest since the pandemic, with net supply running &lt;0.5%. This structural tailwind supports HST's pricing power and RevPAR growth durability into 2027.</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