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Host Hotels &amp; Resorts (HST)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Host Hotels &amp; Resorts, Inc.</w:t>
            </w:r>
          </w:p>
        </w:tc>
      </w:tr>
      <w:tr>
        <w:tc>
          <w:tcPr>
            <w:tcW w:type="dxa" w:w="4320"/>
          </w:tcPr>
          <w:p>
            <w:r>
              <w:rPr>
                <w:rFonts w:ascii="Calibri" w:hAnsi="Calibri"/>
                <w:b/>
                <w:sz w:val="22"/>
              </w:rPr>
              <w:t>Ticker</w:t>
            </w:r>
          </w:p>
        </w:tc>
        <w:tc>
          <w:tcPr>
            <w:tcW w:type="dxa" w:w="4320"/>
          </w:tcPr>
          <w:p>
            <w:r>
              <w:rPr>
                <w:rFonts w:ascii="Calibri" w:hAnsi="Calibri"/>
                <w:sz w:val="22"/>
              </w:rPr>
              <w:t>HST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 10:00 AM ET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Sector / Sub-Sector</w:t>
            </w:r>
          </w:p>
        </w:tc>
        <w:tc>
          <w:tcPr>
            <w:tcW w:type="dxa" w:w="4320"/>
          </w:tcPr>
          <w:p>
            <w:r>
              <w:rPr>
                <w:rFonts w:ascii="Calibri" w:hAnsi="Calibri"/>
                <w:sz w:val="22"/>
              </w:rPr>
              <w:t>Real Estate — Lodging REITs (Luxury &amp; Upper-Upscale)</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is constructive — consensus is a manageable bar after Q1 guidance raises, and the World Cup tailwind is the single biggest swing factor that could push RevPAR meaningfully above the ~4% growth implied by current estimates.</w:t>
      </w:r>
    </w:p>
    <w:p>
      <w:r>
        <w:rPr>
          <w:rFonts w:ascii="Calibri" w:hAnsi="Calibri"/>
          <w:color w:val="525866"/>
          <w:sz w:val="22"/>
        </w:rPr>
        <w:t xml:space="preserve">Host enters Q2 2026 earnings with momentum at its back: management raised full-year RevPAR guidance by 100 bps at the Q1 print and explicitly guided Q2 RevPAR growth to be "similar to Q1" (~4.4%), with World Cup transient pace in key markets up nearly 40% year-over-year. </w:t>
      </w:r>
      <w:r>
        <w:rPr>
          <w:rFonts w:ascii="Calibri" w:hAnsi="Calibri"/>
          <w:color w:val="525866"/>
          <w:sz w:val="22"/>
        </w:rPr>
        <w:t>Consensus for Q2 Comparable RevPAR sits at ~$248, implying roughly 3.5–4% growth, which appears achievable given the event tailwind and the company's track record of beating estimates in each of the last four quarters.</w:t>
      </w:r>
      <w:r>
        <w:rPr>
          <w:rFonts w:ascii="Calibri" w:hAnsi="Calibri"/>
          <w:color w:val="525866"/>
          <w:sz w:val="22"/>
        </w:rPr>
        <w:t xml:space="preserve"> Management's tone on the Q1 call was notably bullish — productivity gains drove margin expansion ahead of expectations, Maui maintained its $120M EBITDA target despite a storm disruption, and the Hyatt Transformational Capital Program is &gt;80% complete on time and under budget.</w:t>
      </w:r>
      <w:r>
        <w:rPr>
          <w:rFonts w:ascii="Calibri" w:hAnsi="Calibri"/>
          <w:color w:val="525866"/>
          <w:sz w:val="22"/>
        </w:rPr>
        <w:t xml:space="preserve"> The stock has re-rated sharply (+16% vs. XLRE since the May 6 print), pricing in a solid quarter, so the bar for a positive reaction is higher than the headline numbers suggest — the market will focus on whether World Cup demand materialized as expected and whether management raises the full-year EBITDA midpoint again.</w:t>
      </w:r>
      <w:r>
        <w:rPr>
          <w:rFonts w:ascii="Calibri" w:hAnsi="Calibri"/>
          <w:color w:val="525866"/>
          <w:sz w:val="22"/>
        </w:rPr>
        <w:t xml:space="preserve"> The key wildcard is the concentration of World Cup bookings in the final 30-day window (40% in the last week), meaning actual Q2 RevPAR could surprise materially in either direction depending on last-minute transient fill rates in New York and Miami.</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RevPAR growth of ~3.5–4% is achievable given World Cup tailwinds, but Adjusted EBITDA is the bigger swing factor given management's track record of margin outperformance.</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Comparable RevPAR ($)</w:t>
            </w:r>
          </w:p>
        </w:tc>
        <w:tc>
          <w:tcPr>
            <w:tcW w:type="dxa" w:w="1234"/>
          </w:tcPr>
          <w:p>
            <w:r>
              <w:rPr>
                <w:rFonts w:ascii="Calibri" w:hAnsi="Calibri"/>
                <w:sz w:val="22"/>
              </w:rPr>
              <w:t>$244.11</w:t>
            </w:r>
          </w:p>
        </w:tc>
        <w:tc>
          <w:tcPr>
            <w:tcW w:type="dxa" w:w="1234"/>
          </w:tcPr>
          <w:p>
            <w:r>
              <w:rPr>
                <w:rFonts w:ascii="Calibri" w:hAnsi="Calibri"/>
                <w:sz w:val="22"/>
              </w:rPr>
              <w:t>$239.64</w:t>
            </w:r>
          </w:p>
        </w:tc>
        <w:tc>
          <w:tcPr>
            <w:tcW w:type="dxa" w:w="1234"/>
          </w:tcPr>
          <w:p>
            <w:r>
              <w:rPr>
                <w:rFonts w:ascii="Calibri" w:hAnsi="Calibri"/>
                <w:sz w:val="22"/>
              </w:rPr>
              <w:t>$248.07</w:t>
            </w:r>
          </w:p>
        </w:tc>
        <w:tc>
          <w:tcPr>
            <w:tcW w:type="dxa" w:w="1234"/>
          </w:tcPr>
          <w:p>
            <w:r>
              <w:rPr>
                <w:rFonts w:ascii="Calibri" w:hAnsi="Calibri"/>
                <w:sz w:val="22"/>
              </w:rPr>
              <w:t>+3.5%</w:t>
            </w:r>
          </w:p>
        </w:tc>
        <w:tc>
          <w:tcPr>
            <w:tcW w:type="dxa" w:w="1234"/>
          </w:tcPr>
          <w:p>
            <w:r>
              <w:rPr>
                <w:rFonts w:ascii="Calibri" w:hAnsi="Calibri"/>
                <w:sz w:val="22"/>
              </w:rPr>
              <w:t>$230–$233 (FY)</w:t>
            </w:r>
          </w:p>
        </w:tc>
        <w:tc>
          <w:tcPr>
            <w:tcW w:type="dxa" w:w="1234"/>
          </w:tcPr>
          <w:p>
            <w:r>
              <w:rPr>
                <w:rFonts w:ascii="Calibri" w:hAnsi="Calibri"/>
                <w:sz w:val="22"/>
              </w:rPr>
              <w:t>Within range</w:t>
            </w:r>
          </w:p>
        </w:tc>
      </w:tr>
      <w:tr>
        <w:tc>
          <w:tcPr>
            <w:tcW w:type="dxa" w:w="1234"/>
          </w:tcPr>
          <w:p>
            <w:r>
              <w:rPr>
                <w:rFonts w:ascii="Calibri" w:hAnsi="Calibri"/>
                <w:sz w:val="22"/>
              </w:rPr>
              <w:t>Comparable RevPAR Growth (CC, %)</w:t>
            </w:r>
          </w:p>
        </w:tc>
        <w:tc>
          <w:tcPr>
            <w:tcW w:type="dxa" w:w="1234"/>
          </w:tcPr>
          <w:p>
            <w:r>
              <w:rPr>
                <w:rFonts w:ascii="Calibri" w:hAnsi="Calibri"/>
                <w:sz w:val="22"/>
              </w:rPr>
              <w:t>+4.4%</w:t>
            </w:r>
          </w:p>
        </w:tc>
        <w:tc>
          <w:tcPr>
            <w:tcW w:type="dxa" w:w="1234"/>
          </w:tcPr>
          <w:p>
            <w:r>
              <w:rPr>
                <w:rFonts w:ascii="Calibri" w:hAnsi="Calibri"/>
                <w:sz w:val="22"/>
              </w:rPr>
              <w:t>+5.0%</w:t>
            </w:r>
          </w:p>
        </w:tc>
        <w:tc>
          <w:tcPr>
            <w:tcW w:type="dxa" w:w="1234"/>
          </w:tcPr>
          <w:p>
            <w:r>
              <w:rPr>
                <w:rFonts w:ascii="Calibri" w:hAnsi="Calibri"/>
                <w:sz w:val="22"/>
              </w:rPr>
              <w:t>+4.2%</w:t>
            </w:r>
          </w:p>
        </w:tc>
        <w:tc>
          <w:tcPr>
            <w:tcW w:type="dxa" w:w="1234"/>
          </w:tcPr>
          <w:p>
            <w:r>
              <w:rPr>
                <w:rFonts w:ascii="Calibri" w:hAnsi="Calibri"/>
                <w:sz w:val="22"/>
              </w:rPr>
              <w:t>-0.8 pp YoY</w:t>
            </w:r>
          </w:p>
        </w:tc>
        <w:tc>
          <w:tcPr>
            <w:tcW w:type="dxa" w:w="1234"/>
          </w:tcPr>
          <w:p>
            <w:r>
              <w:rPr>
                <w:rFonts w:ascii="Calibri" w:hAnsi="Calibri"/>
                <w:sz w:val="22"/>
              </w:rPr>
              <w:t>3.0%–4.5% (FY)</w:t>
            </w:r>
          </w:p>
        </w:tc>
        <w:tc>
          <w:tcPr>
            <w:tcW w:type="dxa" w:w="1234"/>
          </w:tcPr>
          <w:p>
            <w:r>
              <w:rPr>
                <w:rFonts w:ascii="Calibri" w:hAnsi="Calibri"/>
                <w:sz w:val="22"/>
              </w:rPr>
              <w:t>At midpoint</w:t>
            </w:r>
          </w:p>
        </w:tc>
      </w:tr>
      <w:tr>
        <w:tc>
          <w:tcPr>
            <w:tcW w:type="dxa" w:w="1234"/>
          </w:tcPr>
          <w:p>
            <w:r>
              <w:rPr>
                <w:rFonts w:ascii="Calibri" w:hAnsi="Calibri"/>
                <w:sz w:val="22"/>
              </w:rPr>
              <w:t>Adjusted EBITDAre ($M)</w:t>
            </w:r>
          </w:p>
        </w:tc>
        <w:tc>
          <w:tcPr>
            <w:tcW w:type="dxa" w:w="1234"/>
          </w:tcPr>
          <w:p>
            <w:r>
              <w:rPr>
                <w:rFonts w:ascii="Calibri" w:hAnsi="Calibri"/>
                <w:sz w:val="22"/>
              </w:rPr>
              <w:t>$543M</w:t>
            </w:r>
          </w:p>
        </w:tc>
        <w:tc>
          <w:tcPr>
            <w:tcW w:type="dxa" w:w="1234"/>
          </w:tcPr>
          <w:p>
            <w:r>
              <w:rPr>
                <w:rFonts w:ascii="Calibri" w:hAnsi="Calibri"/>
                <w:sz w:val="22"/>
              </w:rPr>
              <w:t>$496M</w:t>
            </w:r>
          </w:p>
        </w:tc>
        <w:tc>
          <w:tcPr>
            <w:tcW w:type="dxa" w:w="1234"/>
          </w:tcPr>
          <w:p>
            <w:r>
              <w:rPr>
                <w:rFonts w:ascii="Calibri" w:hAnsi="Calibri"/>
                <w:sz w:val="22"/>
              </w:rPr>
              <w:t>$517.7M</w:t>
            </w:r>
          </w:p>
        </w:tc>
        <w:tc>
          <w:tcPr>
            <w:tcW w:type="dxa" w:w="1234"/>
          </w:tcPr>
          <w:p>
            <w:r>
              <w:rPr>
                <w:rFonts w:ascii="Calibri" w:hAnsi="Calibri"/>
                <w:sz w:val="22"/>
              </w:rPr>
              <w:t>+4.4%</w:t>
            </w:r>
          </w:p>
        </w:tc>
        <w:tc>
          <w:tcPr>
            <w:tcW w:type="dxa" w:w="1234"/>
          </w:tcPr>
          <w:p>
            <w:r>
              <w:rPr>
                <w:rFonts w:ascii="Calibri" w:hAnsi="Calibri"/>
                <w:sz w:val="22"/>
              </w:rPr>
              <w:t>$1,785–$1,835M (FY)</w:t>
            </w:r>
          </w:p>
        </w:tc>
        <w:tc>
          <w:tcPr>
            <w:tcW w:type="dxa" w:w="1234"/>
          </w:tcPr>
          <w:p>
            <w:r>
              <w:rPr>
                <w:rFonts w:ascii="Calibri" w:hAnsi="Calibri"/>
                <w:sz w:val="22"/>
              </w:rPr>
              <w:t>~$45M below FY midpoint run-rate</w:t>
            </w:r>
          </w:p>
        </w:tc>
      </w:tr>
      <w:tr>
        <w:tc>
          <w:tcPr>
            <w:tcW w:type="dxa" w:w="1234"/>
          </w:tcPr>
          <w:p>
            <w:r>
              <w:rPr>
                <w:rFonts w:ascii="Calibri" w:hAnsi="Calibri"/>
                <w:sz w:val="22"/>
              </w:rPr>
              <w:t>Total Revenues ($M)</w:t>
            </w:r>
          </w:p>
        </w:tc>
        <w:tc>
          <w:tcPr>
            <w:tcW w:type="dxa" w:w="1234"/>
          </w:tcPr>
          <w:p>
            <w:r>
              <w:rPr>
                <w:rFonts w:ascii="Calibri" w:hAnsi="Calibri"/>
                <w:sz w:val="22"/>
              </w:rPr>
              <w:t>$1,645M</w:t>
            </w:r>
          </w:p>
        </w:tc>
        <w:tc>
          <w:tcPr>
            <w:tcW w:type="dxa" w:w="1234"/>
          </w:tcPr>
          <w:p>
            <w:r>
              <w:rPr>
                <w:rFonts w:ascii="Calibri" w:hAnsi="Calibri"/>
                <w:sz w:val="22"/>
              </w:rPr>
              <w:t>$1,586M</w:t>
            </w:r>
          </w:p>
        </w:tc>
        <w:tc>
          <w:tcPr>
            <w:tcW w:type="dxa" w:w="1234"/>
          </w:tcPr>
          <w:p>
            <w:r>
              <w:rPr>
                <w:rFonts w:ascii="Calibri" w:hAnsi="Calibri"/>
                <w:sz w:val="22"/>
              </w:rPr>
              <w:t>$1,615.6M</w:t>
            </w:r>
          </w:p>
        </w:tc>
        <w:tc>
          <w:tcPr>
            <w:tcW w:type="dxa" w:w="1234"/>
          </w:tcPr>
          <w:p>
            <w:r>
              <w:rPr>
                <w:rFonts w:ascii="Calibri" w:hAnsi="Calibri"/>
                <w:sz w:val="22"/>
              </w:rPr>
              <w:t>+1.9%</w:t>
            </w:r>
          </w:p>
        </w:tc>
        <w:tc>
          <w:tcPr>
            <w:tcW w:type="dxa" w:w="1234"/>
          </w:tcPr>
          <w:p>
            <w:r>
              <w:rPr>
                <w:rFonts w:ascii="Calibri" w:hAnsi="Calibri"/>
                <w:sz w:val="22"/>
              </w:rPr>
              <w:t>~$6,133M (FY)</w:t>
            </w:r>
          </w:p>
        </w:tc>
        <w:tc>
          <w:tcPr>
            <w:tcW w:type="dxa" w:w="1234"/>
          </w:tcPr>
          <w:p>
            <w:r>
              <w:rPr>
                <w:rFonts w:ascii="Calibri" w:hAnsi="Calibri"/>
                <w:sz w:val="22"/>
              </w:rPr>
              <w:t>On track</w:t>
            </w:r>
          </w:p>
        </w:tc>
      </w:tr>
      <w:tr>
        <w:tc>
          <w:tcPr>
            <w:tcW w:type="dxa" w:w="1234"/>
          </w:tcPr>
          <w:p>
            <w:r>
              <w:rPr>
                <w:rFonts w:ascii="Calibri" w:hAnsi="Calibri"/>
                <w:sz w:val="22"/>
              </w:rPr>
              <w:t>FFO per Share — Diluted ($)</w:t>
            </w:r>
          </w:p>
        </w:tc>
        <w:tc>
          <w:tcPr>
            <w:tcW w:type="dxa" w:w="1234"/>
          </w:tcPr>
          <w:p>
            <w:r>
              <w:rPr>
                <w:rFonts w:ascii="Calibri" w:hAnsi="Calibri"/>
                <w:sz w:val="22"/>
              </w:rPr>
              <w:t>$0.66</w:t>
            </w:r>
          </w:p>
        </w:tc>
        <w:tc>
          <w:tcPr>
            <w:tcW w:type="dxa" w:w="1234"/>
          </w:tcPr>
          <w:p>
            <w:r>
              <w:rPr>
                <w:rFonts w:ascii="Calibri" w:hAnsi="Calibri"/>
                <w:sz w:val="22"/>
              </w:rPr>
              <w:t>$0.569</w:t>
            </w:r>
          </w:p>
        </w:tc>
        <w:tc>
          <w:tcPr>
            <w:tcW w:type="dxa" w:w="1234"/>
          </w:tcPr>
          <w:p>
            <w:r>
              <w:rPr>
                <w:rFonts w:ascii="Calibri" w:hAnsi="Calibri"/>
                <w:sz w:val="22"/>
              </w:rPr>
              <w:t>$0.615</w:t>
            </w:r>
          </w:p>
        </w:tc>
        <w:tc>
          <w:tcPr>
            <w:tcW w:type="dxa" w:w="1234"/>
          </w:tcPr>
          <w:p>
            <w:r>
              <w:rPr>
                <w:rFonts w:ascii="Calibri" w:hAnsi="Calibri"/>
                <w:sz w:val="22"/>
              </w:rPr>
              <w:t>+8.1%</w:t>
            </w:r>
          </w:p>
        </w:tc>
        <w:tc>
          <w:tcPr>
            <w:tcW w:type="dxa" w:w="1234"/>
          </w:tcPr>
          <w:p>
            <w:r>
              <w:rPr>
                <w:rFonts w:ascii="Calibri" w:hAnsi="Calibri"/>
                <w:sz w:val="22"/>
              </w:rPr>
              <w:t>$2.06–$2.12 NAREIT FFO (FY)</w:t>
            </w:r>
          </w:p>
        </w:tc>
        <w:tc>
          <w:tcPr>
            <w:tcW w:type="dxa" w:w="1234"/>
          </w:tcPr>
          <w:p>
            <w:r>
              <w:rPr>
                <w:rFonts w:ascii="Calibri" w:hAnsi="Calibri"/>
                <w:sz w:val="22"/>
              </w:rPr>
              <w:t>~$0.03 below FY midpoint run-rate</w:t>
            </w:r>
          </w:p>
        </w:tc>
      </w:tr>
    </w:tbl>
    <w:p>
      <w:r>
        <w:rPr>
          <w:rFonts w:ascii="Calibri" w:hAnsi="Calibri"/>
          <w:i/>
          <w:color w:val="525866"/>
          <w:sz w:val="22"/>
        </w:rPr>
        <w:t>Sources: Visible Alpha Consensus and Actuals Data (RevPAR, Adj. EBITDA, Total Revenues, FFO per share); HST Q1 2026 Earnings Release (May 6, 2026) for guidance ranges.</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Comparable RevPAR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$244.11</w:t>
            </w:r>
          </w:p>
        </w:tc>
        <w:tc>
          <w:tcPr>
            <w:tcW w:type="dxa" w:w="1728"/>
          </w:tcPr>
          <w:p>
            <w:r>
              <w:rPr>
                <w:rFonts w:ascii="Calibri" w:hAnsi="Calibri"/>
                <w:sz w:val="22"/>
              </w:rPr>
              <w:t>$242.53</w:t>
            </w:r>
          </w:p>
        </w:tc>
        <w:tc>
          <w:tcPr>
            <w:tcW w:type="dxa" w:w="1728"/>
          </w:tcPr>
          <w:p>
            <w:r>
              <w:rPr>
                <w:rFonts w:ascii="Calibri" w:hAnsi="Calibri"/>
                <w:b/>
                <w:color w:val="30A46C"/>
                <w:sz w:val="22"/>
              </w:rPr>
              <w:t>+0.7%</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$227.14</w:t>
            </w:r>
          </w:p>
        </w:tc>
        <w:tc>
          <w:tcPr>
            <w:tcW w:type="dxa" w:w="1728"/>
          </w:tcPr>
          <w:p>
            <w:r>
              <w:rPr>
                <w:rFonts w:ascii="Calibri" w:hAnsi="Calibri"/>
                <w:sz w:val="22"/>
              </w:rPr>
              <w:t>$219.20</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$208.07</w:t>
            </w:r>
          </w:p>
        </w:tc>
        <w:tc>
          <w:tcPr>
            <w:tcW w:type="dxa" w:w="1728"/>
          </w:tcPr>
          <w:p>
            <w:r>
              <w:rPr>
                <w:rFonts w:ascii="Calibri" w:hAnsi="Calibri"/>
                <w:sz w:val="22"/>
              </w:rPr>
              <w:t>$203.21</w:t>
            </w:r>
          </w:p>
        </w:tc>
        <w:tc>
          <w:tcPr>
            <w:tcW w:type="dxa" w:w="1728"/>
          </w:tcPr>
          <w:p>
            <w:r>
              <w:rPr>
                <w:rFonts w:ascii="Calibri" w:hAnsi="Calibri"/>
                <w:b/>
                <w:color w:val="30A46C"/>
                <w:sz w:val="22"/>
              </w:rPr>
              <w:t>+2.4%</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$239.64</w:t>
            </w:r>
          </w:p>
        </w:tc>
        <w:tc>
          <w:tcPr>
            <w:tcW w:type="dxa" w:w="1728"/>
          </w:tcPr>
          <w:p>
            <w:r>
              <w:rPr>
                <w:rFonts w:ascii="Calibri" w:hAnsi="Calibri"/>
                <w:sz w:val="22"/>
              </w:rPr>
              <w:t>$230.78</w:t>
            </w:r>
          </w:p>
        </w:tc>
        <w:tc>
          <w:tcPr>
            <w:tcW w:type="dxa" w:w="1728"/>
          </w:tcPr>
          <w:p>
            <w:r>
              <w:rPr>
                <w:rFonts w:ascii="Calibri" w:hAnsi="Calibri"/>
                <w:b/>
                <w:color w:val="30A46C"/>
                <w:sz w:val="22"/>
              </w:rPr>
              <w:t>+3.8%</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$240.18</w:t>
            </w:r>
          </w:p>
        </w:tc>
        <w:tc>
          <w:tcPr>
            <w:tcW w:type="dxa" w:w="1728"/>
          </w:tcPr>
          <w:p>
            <w:r>
              <w:rPr>
                <w:rFonts w:ascii="Calibri" w:hAnsi="Calibri"/>
                <w:sz w:val="22"/>
              </w:rPr>
              <w:t>$227.25</w:t>
            </w:r>
          </w:p>
        </w:tc>
        <w:tc>
          <w:tcPr>
            <w:tcW w:type="dxa" w:w="1728"/>
          </w:tcPr>
          <w:p>
            <w:r>
              <w:rPr>
                <w:rFonts w:ascii="Calibri" w:hAnsi="Calibri"/>
                <w:b/>
                <w:color w:val="30A46C"/>
                <w:sz w:val="22"/>
              </w:rPr>
              <w:t>+5.7%</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$217.11</w:t>
            </w:r>
          </w:p>
        </w:tc>
        <w:tc>
          <w:tcPr>
            <w:tcW w:type="dxa" w:w="1728"/>
          </w:tcPr>
          <w:p>
            <w:r>
              <w:rPr>
                <w:rFonts w:ascii="Calibri" w:hAnsi="Calibri"/>
                <w:sz w:val="22"/>
              </w:rPr>
              <w:t>$204.38</w:t>
            </w:r>
          </w:p>
        </w:tc>
        <w:tc>
          <w:tcPr>
            <w:tcW w:type="dxa" w:w="1728"/>
          </w:tcPr>
          <w:p>
            <w:r>
              <w:rPr>
                <w:rFonts w:ascii="Calibri" w:hAnsi="Calibri"/>
                <w:b/>
                <w:color w:val="30A46C"/>
                <w:sz w:val="22"/>
              </w:rPr>
              <w:t>+6.2%</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$206.21</w:t>
            </w:r>
          </w:p>
        </w:tc>
        <w:tc>
          <w:tcPr>
            <w:tcW w:type="dxa" w:w="1728"/>
          </w:tcPr>
          <w:p>
            <w:r>
              <w:rPr>
                <w:rFonts w:ascii="Calibri" w:hAnsi="Calibri"/>
                <w:sz w:val="22"/>
              </w:rPr>
              <w:t>$201.50</w:t>
            </w:r>
          </w:p>
        </w:tc>
        <w:tc>
          <w:tcPr>
            <w:tcW w:type="dxa" w:w="1728"/>
          </w:tcPr>
          <w:p>
            <w:r>
              <w:rPr>
                <w:rFonts w:ascii="Calibri" w:hAnsi="Calibri"/>
                <w:b/>
                <w:color w:val="30A46C"/>
                <w:sz w:val="22"/>
              </w:rPr>
              <w:t>+2.3%</w:t>
            </w:r>
          </w:p>
        </w:tc>
        <w:tc>
          <w:tcPr>
            <w:tcW w:type="dxa" w:w="1728"/>
          </w:tcPr>
          <w:p>
            <w:r>
              <w:rPr>
                <w:rFonts w:ascii="Calibri" w:hAnsi="Calibri"/>
                <w:sz w:val="22"/>
              </w:rPr>
              <w:t>Beat</w:t>
            </w:r>
          </w:p>
        </w:tc>
      </w:tr>
    </w:tbl>
    <w:p>
      <w:pPr>
        <w:pStyle w:val="Heading3"/>
      </w:pPr>
      <w:r>
        <w:rPr>
          <w:rFonts w:ascii="Calibri" w:hAnsi="Calibri"/>
          <w:b/>
          <w:color w:val="3B4259"/>
          <w:sz w:val="24"/>
        </w:rPr>
        <w:t>Adjusted EBITDAre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$543M</w:t>
            </w:r>
          </w:p>
        </w:tc>
        <w:tc>
          <w:tcPr>
            <w:tcW w:type="dxa" w:w="1728"/>
          </w:tcPr>
          <w:p>
            <w:r>
              <w:rPr>
                <w:rFonts w:ascii="Calibri" w:hAnsi="Calibri"/>
                <w:sz w:val="22"/>
              </w:rPr>
              <w:t>$507M</w:t>
            </w:r>
          </w:p>
        </w:tc>
        <w:tc>
          <w:tcPr>
            <w:tcW w:type="dxa" w:w="1728"/>
          </w:tcPr>
          <w:p>
            <w:r>
              <w:rPr>
                <w:rFonts w:ascii="Calibri" w:hAnsi="Calibri"/>
                <w:b/>
                <w:color w:val="30A46C"/>
                <w:sz w:val="22"/>
              </w:rPr>
              <w:t>+7.1%</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$428M</w:t>
            </w:r>
          </w:p>
        </w:tc>
        <w:tc>
          <w:tcPr>
            <w:tcW w:type="dxa" w:w="1728"/>
          </w:tcPr>
          <w:p>
            <w:r>
              <w:rPr>
                <w:rFonts w:ascii="Calibri" w:hAnsi="Calibri"/>
                <w:sz w:val="22"/>
              </w:rPr>
              <w:t>$399M</w:t>
            </w:r>
          </w:p>
        </w:tc>
        <w:tc>
          <w:tcPr>
            <w:tcW w:type="dxa" w:w="1728"/>
          </w:tcPr>
          <w:p>
            <w:r>
              <w:rPr>
                <w:rFonts w:ascii="Calibri" w:hAnsi="Calibri"/>
                <w:b/>
                <w:color w:val="30A46C"/>
                <w:sz w:val="22"/>
              </w:rPr>
              <w:t>+7.3%</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$319M</w:t>
            </w:r>
          </w:p>
        </w:tc>
        <w:tc>
          <w:tcPr>
            <w:tcW w:type="dxa" w:w="1728"/>
          </w:tcPr>
          <w:p>
            <w:r>
              <w:rPr>
                <w:rFonts w:ascii="Calibri" w:hAnsi="Calibri"/>
                <w:sz w:val="22"/>
              </w:rPr>
              <w:t>$308M</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$496M</w:t>
            </w:r>
          </w:p>
        </w:tc>
        <w:tc>
          <w:tcPr>
            <w:tcW w:type="dxa" w:w="1728"/>
          </w:tcPr>
          <w:p>
            <w:r>
              <w:rPr>
                <w:rFonts w:ascii="Calibri" w:hAnsi="Calibri"/>
                <w:sz w:val="22"/>
              </w:rPr>
              <w:t>$448M</w:t>
            </w:r>
          </w:p>
        </w:tc>
        <w:tc>
          <w:tcPr>
            <w:tcW w:type="dxa" w:w="1728"/>
          </w:tcPr>
          <w:p>
            <w:r>
              <w:rPr>
                <w:rFonts w:ascii="Calibri" w:hAnsi="Calibri"/>
                <w:b/>
                <w:color w:val="30A46C"/>
                <w:sz w:val="22"/>
              </w:rPr>
              <w:t>+10.7%</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$514M</w:t>
            </w:r>
          </w:p>
        </w:tc>
        <w:tc>
          <w:tcPr>
            <w:tcW w:type="dxa" w:w="1728"/>
          </w:tcPr>
          <w:p>
            <w:r>
              <w:rPr>
                <w:rFonts w:ascii="Calibri" w:hAnsi="Calibri"/>
                <w:sz w:val="22"/>
              </w:rPr>
              <w:t>$469M</w:t>
            </w:r>
          </w:p>
        </w:tc>
        <w:tc>
          <w:tcPr>
            <w:tcW w:type="dxa" w:w="1728"/>
          </w:tcPr>
          <w:p>
            <w:r>
              <w:rPr>
                <w:rFonts w:ascii="Calibri" w:hAnsi="Calibri"/>
                <w:b/>
                <w:color w:val="30A46C"/>
                <w:sz w:val="22"/>
              </w:rPr>
              <w:t>+9.6%</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$380M</w:t>
            </w:r>
          </w:p>
        </w:tc>
        <w:tc>
          <w:tcPr>
            <w:tcW w:type="dxa" w:w="1728"/>
          </w:tcPr>
          <w:p>
            <w:r>
              <w:rPr>
                <w:rFonts w:ascii="Calibri" w:hAnsi="Calibri"/>
                <w:sz w:val="22"/>
              </w:rPr>
              <w:t>$346M</w:t>
            </w:r>
          </w:p>
        </w:tc>
        <w:tc>
          <w:tcPr>
            <w:tcW w:type="dxa" w:w="1728"/>
          </w:tcPr>
          <w:p>
            <w:r>
              <w:rPr>
                <w:rFonts w:ascii="Calibri" w:hAnsi="Calibri"/>
                <w:b/>
                <w:color w:val="30A46C"/>
                <w:sz w:val="22"/>
              </w:rPr>
              <w:t>+9.8%</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$330M</w:t>
            </w:r>
          </w:p>
        </w:tc>
        <w:tc>
          <w:tcPr>
            <w:tcW w:type="dxa" w:w="1728"/>
          </w:tcPr>
          <w:p>
            <w:r>
              <w:rPr>
                <w:rFonts w:ascii="Calibri" w:hAnsi="Calibri"/>
                <w:sz w:val="22"/>
              </w:rPr>
              <w:t>$317M</w:t>
            </w:r>
          </w:p>
        </w:tc>
        <w:tc>
          <w:tcPr>
            <w:tcW w:type="dxa" w:w="1728"/>
          </w:tcPr>
          <w:p>
            <w:r>
              <w:rPr>
                <w:rFonts w:ascii="Calibri" w:hAnsi="Calibri"/>
                <w:b/>
                <w:color w:val="30A46C"/>
                <w:sz w:val="22"/>
              </w:rPr>
              <w:t>+4.1%</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HST has beaten Comparable RevPAR consensus in each of the last 7 reported quarters, with an average surprise of +3.5%; Adjusted EBITDAre beats have been even more consistent, averaging +7.5% above consensus over the same period — a strong track record that sets a high bar for the market's reaction to an in-line print.</w:t>
      </w:r>
      <w:r>
        <w:rPr>
          <w:rFonts w:ascii="Calibri" w:hAnsi="Calibri"/>
          <w:i/>
          <w:color w:val="525866"/>
          <w:sz w:val="22"/>
        </w:rPr>
        <w:t xml:space="preserve">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guidance meaningfully at Q1 and has not issued any post-earnings revisions — the baseline is the May 6 print, and tone remains bullish with World Cup demand tracking well and Maui on plan.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Comparable RevPAR Growth (FY 2026)</w:t>
            </w:r>
          </w:p>
        </w:tc>
        <w:tc>
          <w:tcPr>
            <w:tcW w:type="dxa" w:w="1728"/>
          </w:tcPr>
          <w:p>
            <w:r>
              <w:rPr>
                <w:rFonts w:ascii="Calibri" w:hAnsi="Calibri"/>
                <w:sz w:val="22"/>
              </w:rPr>
              <w:t>3.0%–4.5% over 2025 (midpoint 3.75%; raised 100 bps from prior 2.0%–3.5%)</w:t>
            </w:r>
          </w:p>
        </w:tc>
        <w:tc>
          <w:tcPr>
            <w:tcW w:type="dxa" w:w="1728"/>
          </w:tcPr>
          <w:p>
            <w:r>
              <w:rPr>
                <w:rFonts w:ascii="Calibri" w:hAnsi="Calibri"/>
                <w:sz w:val="22"/>
              </w:rPr>
              <w:t>—</w:t>
            </w:r>
          </w:p>
        </w:tc>
        <w:tc>
          <w:tcPr>
            <w:tcW w:type="dxa" w:w="1728"/>
          </w:tcPr>
          <w:p>
            <w:r>
              <w:rPr>
                <w:rFonts w:ascii="Calibri" w:hAnsi="Calibri"/>
                <w:sz w:val="22"/>
              </w:rPr>
              <w:t>~2.5% (FY implied by VA)</w:t>
            </w:r>
          </w:p>
        </w:tc>
        <w:tc>
          <w:tcPr>
            <w:tcW w:type="dxa" w:w="1728"/>
          </w:tcPr>
          <w:p>
            <w:r>
              <w:rPr>
                <w:rFonts w:ascii="Calibri" w:hAnsi="Calibri"/>
                <w:sz w:val="22"/>
              </w:rPr>
              <w:t>No post-earnings revision; consensus tracking slightly below guidance midpoint, suggesting cushion</w:t>
            </w:r>
          </w:p>
        </w:tc>
      </w:tr>
      <w:tr>
        <w:tc>
          <w:tcPr>
            <w:tcW w:type="dxa" w:w="1728"/>
          </w:tcPr>
          <w:p>
            <w:r>
              <w:rPr>
                <w:rFonts w:ascii="Calibri" w:hAnsi="Calibri"/>
                <w:sz w:val="22"/>
              </w:rPr>
              <w:t>Comparable Total RevPAR Growth (FY 2026)</w:t>
            </w:r>
          </w:p>
        </w:tc>
        <w:tc>
          <w:tcPr>
            <w:tcW w:type="dxa" w:w="1728"/>
          </w:tcPr>
          <w:p>
            <w:r>
              <w:rPr>
                <w:rFonts w:ascii="Calibri" w:hAnsi="Calibri"/>
                <w:sz w:val="22"/>
              </w:rPr>
              <w:t>3.5%–5.0% over 2025 (raised 100 bps from prior 2.5%–4.0%)</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No post-earnings revision; management highlighted ancillary spend strength at luxury properties</w:t>
            </w:r>
          </w:p>
        </w:tc>
      </w:tr>
      <w:tr>
        <w:tc>
          <w:tcPr>
            <w:tcW w:type="dxa" w:w="1728"/>
          </w:tcPr>
          <w:p>
            <w:r>
              <w:rPr>
                <w:rFonts w:ascii="Calibri" w:hAnsi="Calibri"/>
                <w:sz w:val="22"/>
              </w:rPr>
              <w:t>Adjusted EBITDAre (FY 2026)</w:t>
            </w:r>
          </w:p>
        </w:tc>
        <w:tc>
          <w:tcPr>
            <w:tcW w:type="dxa" w:w="1728"/>
          </w:tcPr>
          <w:p>
            <w:r>
              <w:rPr>
                <w:rFonts w:ascii="Calibri" w:hAnsi="Calibri"/>
                <w:sz w:val="22"/>
              </w:rPr>
              <w:t>$1,785M–$1,835M (midpoint $1,810M; raised $40M / +2.3% from prior $1,740M–$1,800M)</w:t>
            </w:r>
          </w:p>
        </w:tc>
        <w:tc>
          <w:tcPr>
            <w:tcW w:type="dxa" w:w="1728"/>
          </w:tcPr>
          <w:p>
            <w:r>
              <w:rPr>
                <w:rFonts w:ascii="Calibri" w:hAnsi="Calibri"/>
                <w:sz w:val="22"/>
              </w:rPr>
              <w:t>—</w:t>
            </w:r>
          </w:p>
        </w:tc>
        <w:tc>
          <w:tcPr>
            <w:tcW w:type="dxa" w:w="1728"/>
          </w:tcPr>
          <w:p>
            <w:r>
              <w:rPr>
                <w:rFonts w:ascii="Calibri" w:hAnsi="Calibri"/>
                <w:sz w:val="22"/>
              </w:rPr>
              <w:t>$1,813.9M</w:t>
            </w:r>
          </w:p>
        </w:tc>
        <w:tc>
          <w:tcPr>
            <w:tcW w:type="dxa" w:w="1728"/>
          </w:tcPr>
          <w:p>
            <w:r>
              <w:rPr>
                <w:rFonts w:ascii="Calibri" w:hAnsi="Calibri"/>
                <w:sz w:val="22"/>
              </w:rPr>
              <w:t>No post-earnings revision; consensus at midpoint, implying market believes guidance is achievable</w:t>
            </w:r>
          </w:p>
        </w:tc>
      </w:tr>
      <w:tr>
        <w:tc>
          <w:tcPr>
            <w:tcW w:type="dxa" w:w="1728"/>
          </w:tcPr>
          <w:p>
            <w:r>
              <w:rPr>
                <w:rFonts w:ascii="Calibri" w:hAnsi="Calibri"/>
                <w:sz w:val="22"/>
              </w:rPr>
              <w:t>NAREIT FFO per Share (FY 2026)</w:t>
            </w:r>
          </w:p>
        </w:tc>
        <w:tc>
          <w:tcPr>
            <w:tcW w:type="dxa" w:w="1728"/>
          </w:tcPr>
          <w:p>
            <w:r>
              <w:rPr>
                <w:rFonts w:ascii="Calibri" w:hAnsi="Calibri"/>
                <w:sz w:val="22"/>
              </w:rPr>
              <w:t>$2.06–$2.12 (raised $0.06 from prior $1.99–$2.07)</w:t>
            </w:r>
          </w:p>
        </w:tc>
        <w:tc>
          <w:tcPr>
            <w:tcW w:type="dxa" w:w="1728"/>
          </w:tcPr>
          <w:p>
            <w:r>
              <w:rPr>
                <w:rFonts w:ascii="Calibri" w:hAnsi="Calibri"/>
                <w:sz w:val="22"/>
              </w:rPr>
              <w:t>—</w:t>
            </w:r>
          </w:p>
        </w:tc>
        <w:tc>
          <w:tcPr>
            <w:tcW w:type="dxa" w:w="1728"/>
          </w:tcPr>
          <w:p>
            <w:r>
              <w:rPr>
                <w:rFonts w:ascii="Calibri" w:hAnsi="Calibri"/>
                <w:sz w:val="22"/>
              </w:rPr>
              <w:t>$2.152</w:t>
            </w:r>
          </w:p>
        </w:tc>
        <w:tc>
          <w:tcPr>
            <w:tcW w:type="dxa" w:w="1728"/>
          </w:tcPr>
          <w:p>
            <w:r>
              <w:rPr>
                <w:rFonts w:ascii="Calibri" w:hAnsi="Calibri"/>
                <w:sz w:val="22"/>
              </w:rPr>
              <w:t>Consensus slightly above guidance high end — market pricing in modest upside to guidance</w:t>
            </w:r>
          </w:p>
        </w:tc>
      </w:tr>
      <w:tr>
        <w:tc>
          <w:tcPr>
            <w:tcW w:type="dxa" w:w="1728"/>
          </w:tcPr>
          <w:p>
            <w:r>
              <w:rPr>
                <w:rFonts w:ascii="Calibri" w:hAnsi="Calibri"/>
                <w:sz w:val="22"/>
              </w:rPr>
              <w:t>Comparable Hotel EBITDA Margin (FY 2026)</w:t>
            </w:r>
          </w:p>
        </w:tc>
        <w:tc>
          <w:tcPr>
            <w:tcW w:type="dxa" w:w="1728"/>
          </w:tcPr>
          <w:p>
            <w:r>
              <w:rPr>
                <w:rFonts w:ascii="Calibri" w:hAnsi="Calibri"/>
                <w:sz w:val="22"/>
              </w:rPr>
              <w:t>29.4%–29.7% (up 20–50 bps vs. 2025; raised 30 bps from prior guidance)</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No post-earnings revision; Q1 margin expansion ahead of expectations due to productivity gains</w:t>
            </w:r>
          </w:p>
        </w:tc>
      </w:tr>
      <w:tr>
        <w:tc>
          <w:tcPr>
            <w:tcW w:type="dxa" w:w="1728"/>
          </w:tcPr>
          <w:p>
            <w:r>
              <w:rPr>
                <w:rFonts w:ascii="Calibri" w:hAnsi="Calibri"/>
                <w:sz w:val="22"/>
              </w:rPr>
              <w:t>CapEx (FY 2026)</w:t>
            </w:r>
          </w:p>
        </w:tc>
        <w:tc>
          <w:tcPr>
            <w:tcW w:type="dxa" w:w="1728"/>
          </w:tcPr>
          <w:p>
            <w:r>
              <w:rPr>
                <w:rFonts w:ascii="Calibri" w:hAnsi="Calibri"/>
                <w:sz w:val="22"/>
              </w:rPr>
              <w:t>$545M–$655M (incl. $175M–$210M for Transformational Capital Programs)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post-earnings revision; Hyatt TCP &gt;80% complete, Marriott TCP &gt;25% complete</w:t>
            </w:r>
          </w:p>
        </w:tc>
      </w:tr>
      <w:tr>
        <w:tc>
          <w:tcPr>
            <w:tcW w:type="dxa" w:w="1728"/>
          </w:tcPr>
          <w:p>
            <w:r>
              <w:rPr>
                <w:rFonts w:ascii="Calibri" w:hAnsi="Calibri"/>
                <w:sz w:val="22"/>
              </w:rPr>
              <w:t>Maui EBITDA Contribution (FY 2026)</w:t>
            </w:r>
          </w:p>
        </w:tc>
        <w:tc>
          <w:tcPr>
            <w:tcW w:type="dxa" w:w="1728"/>
          </w:tcPr>
          <w:p>
            <w:r>
              <w:rPr>
                <w:rFonts w:ascii="Calibri" w:hAnsi="Calibri"/>
                <w:sz w:val="22"/>
              </w:rPr>
              <w:t>~$120M (maintained despite Kona Low storm disruption in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post-earnings revision; strong rebookings post-storm; group pace for Q4 Maui up ~20%</w:t>
            </w:r>
          </w:p>
        </w:tc>
      </w:tr>
    </w:tbl>
    <w:p>
      <w:r>
        <w:rPr>
          <w:rFonts w:ascii="Calibri" w:hAnsi="Calibri"/>
          <w:i/>
          <w:color w:val="525866"/>
          <w:sz w:val="22"/>
        </w:rPr>
        <w:t>Source: HST Q1 2026 Earnings Release and Conference Call (May 6–7, 2026); Visible Alpha Consensus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moved up materially since the Q1 print — FFO per share consensus for Q2 rose from $0.614 to $0.615 and FY 2026 from $2.202 to $2.152 (slight moderation), while RevPAR and EBITDA estimates are tracking at or just below guidance midpoints, suggesting the market is not yet pricing in another guidance raise.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5/13/26)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Comparable RevPAR — Q2 2026</w:t>
            </w:r>
          </w:p>
        </w:tc>
        <w:tc>
          <w:tcPr>
            <w:tcW w:type="dxa" w:w="1080"/>
          </w:tcPr>
          <w:p>
            <w:r>
              <w:rPr>
                <w:rFonts w:ascii="Calibri" w:hAnsi="Calibri"/>
                <w:sz w:val="22"/>
              </w:rPr>
              <w:t>$248.98</w:t>
            </w:r>
          </w:p>
        </w:tc>
        <w:tc>
          <w:tcPr>
            <w:tcW w:type="dxa" w:w="1080"/>
          </w:tcPr>
          <w:p>
            <w:r>
              <w:rPr>
                <w:rFonts w:ascii="Calibri" w:hAnsi="Calibri"/>
                <w:sz w:val="22"/>
              </w:rPr>
              <w:t>$248.07</w:t>
            </w:r>
          </w:p>
        </w:tc>
        <w:tc>
          <w:tcPr>
            <w:tcW w:type="dxa" w:w="1080"/>
          </w:tcPr>
          <w:p>
            <w:r>
              <w:rPr>
                <w:rFonts w:ascii="Calibri" w:hAnsi="Calibri"/>
                <w:sz w:val="22"/>
              </w:rPr>
              <w:t>-0.4%</w:t>
            </w:r>
          </w:p>
        </w:tc>
        <w:tc>
          <w:tcPr>
            <w:tcW w:type="dxa" w:w="1080"/>
          </w:tcPr>
          <w:p>
            <w:r>
              <w:rPr>
                <w:rFonts w:ascii="Calibri" w:hAnsi="Calibri"/>
                <w:sz w:val="22"/>
              </w:rPr>
              <w:t>~4.4% growth (similar to Q1)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~3.5% growth vs. ~4.4% guide — slight cushion</w:t>
            </w:r>
          </w:p>
        </w:tc>
      </w:tr>
      <w:tr>
        <w:tc>
          <w:tcPr>
            <w:tcW w:type="dxa" w:w="1080"/>
          </w:tcPr>
          <w:p>
            <w:r>
              <w:rPr>
                <w:rFonts w:ascii="Calibri" w:hAnsi="Calibri"/>
                <w:sz w:val="22"/>
              </w:rPr>
              <w:t>Comparable RevPAR — FY 2026</w:t>
            </w:r>
          </w:p>
        </w:tc>
        <w:tc>
          <w:tcPr>
            <w:tcW w:type="dxa" w:w="1080"/>
          </w:tcPr>
          <w:p>
            <w:r>
              <w:rPr>
                <w:rFonts w:ascii="Calibri" w:hAnsi="Calibri"/>
                <w:sz w:val="22"/>
              </w:rPr>
              <w:t>$233.08</w:t>
            </w:r>
          </w:p>
        </w:tc>
        <w:tc>
          <w:tcPr>
            <w:tcW w:type="dxa" w:w="1080"/>
          </w:tcPr>
          <w:p>
            <w:r>
              <w:rPr>
                <w:rFonts w:ascii="Calibri" w:hAnsi="Calibri"/>
                <w:sz w:val="22"/>
              </w:rPr>
              <w:t>$233.76</w:t>
            </w:r>
          </w:p>
        </w:tc>
        <w:tc>
          <w:tcPr>
            <w:tcW w:type="dxa" w:w="1080"/>
          </w:tcPr>
          <w:p>
            <w:r>
              <w:rPr>
                <w:rFonts w:ascii="Calibri" w:hAnsi="Calibri"/>
                <w:sz w:val="22"/>
              </w:rPr>
              <w:t>+0.3%</w:t>
            </w:r>
          </w:p>
        </w:tc>
        <w:tc>
          <w:tcPr>
            <w:tcW w:type="dxa" w:w="1080"/>
          </w:tcPr>
          <w:p>
            <w:r>
              <w:rPr>
                <w:rFonts w:ascii="Calibri" w:hAnsi="Calibri"/>
                <w:sz w:val="22"/>
              </w:rPr>
              <w:t>$230–$233 (3.0%–4.5%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high end of guidance range</w:t>
            </w:r>
          </w:p>
        </w:tc>
      </w:tr>
      <w:tr>
        <w:tc>
          <w:tcPr>
            <w:tcW w:type="dxa" w:w="1080"/>
          </w:tcPr>
          <w:p>
            <w:r>
              <w:rPr>
                <w:rFonts w:ascii="Calibri" w:hAnsi="Calibri"/>
                <w:sz w:val="22"/>
              </w:rPr>
              <w:t>Adjusted EBITDAre — Q2 2026</w:t>
            </w:r>
          </w:p>
        </w:tc>
        <w:tc>
          <w:tcPr>
            <w:tcW w:type="dxa" w:w="1080"/>
          </w:tcPr>
          <w:p>
            <w:r>
              <w:rPr>
                <w:rFonts w:ascii="Calibri" w:hAnsi="Calibri"/>
                <w:sz w:val="22"/>
              </w:rPr>
              <w:t>$504.3M</w:t>
            </w:r>
          </w:p>
        </w:tc>
        <w:tc>
          <w:tcPr>
            <w:tcW w:type="dxa" w:w="1080"/>
          </w:tcPr>
          <w:p>
            <w:r>
              <w:rPr>
                <w:rFonts w:ascii="Calibri" w:hAnsi="Calibri"/>
                <w:sz w:val="22"/>
              </w:rPr>
              <w:t>$517.7M</w:t>
            </w:r>
          </w:p>
        </w:tc>
        <w:tc>
          <w:tcPr>
            <w:tcW w:type="dxa" w:w="1080"/>
          </w:tcPr>
          <w:p>
            <w:r>
              <w:rPr>
                <w:rFonts w:ascii="Calibri" w:hAnsi="Calibri"/>
                <w:sz w:val="22"/>
              </w:rPr>
              <w:t>+2.7%</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Adjusted EBITDAre — FY 2026</w:t>
            </w:r>
          </w:p>
        </w:tc>
        <w:tc>
          <w:tcPr>
            <w:tcW w:type="dxa" w:w="1080"/>
          </w:tcPr>
          <w:p>
            <w:r>
              <w:rPr>
                <w:rFonts w:ascii="Calibri" w:hAnsi="Calibri"/>
                <w:sz w:val="22"/>
              </w:rPr>
              <w:t>$1,787.0M</w:t>
            </w:r>
          </w:p>
        </w:tc>
        <w:tc>
          <w:tcPr>
            <w:tcW w:type="dxa" w:w="1080"/>
          </w:tcPr>
          <w:p>
            <w:r>
              <w:rPr>
                <w:rFonts w:ascii="Calibri" w:hAnsi="Calibri"/>
                <w:sz w:val="22"/>
              </w:rPr>
              <w:t>$1,813.9M</w:t>
            </w:r>
          </w:p>
        </w:tc>
        <w:tc>
          <w:tcPr>
            <w:tcW w:type="dxa" w:w="1080"/>
          </w:tcPr>
          <w:p>
            <w:r>
              <w:rPr>
                <w:rFonts w:ascii="Calibri" w:hAnsi="Calibri"/>
                <w:sz w:val="22"/>
              </w:rPr>
              <w:t>+1.5%</w:t>
            </w:r>
          </w:p>
        </w:tc>
        <w:tc>
          <w:tcPr>
            <w:tcW w:type="dxa" w:w="1080"/>
          </w:tcPr>
          <w:p>
            <w:r>
              <w:rPr>
                <w:rFonts w:ascii="Calibri" w:hAnsi="Calibri"/>
                <w:sz w:val="22"/>
              </w:rPr>
              <w:t>$1,785M–$1,835M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($1,810M)</w:t>
            </w:r>
          </w:p>
        </w:tc>
      </w:tr>
      <w:tr>
        <w:tc>
          <w:tcPr>
            <w:tcW w:type="dxa" w:w="1080"/>
          </w:tcPr>
          <w:p>
            <w:r>
              <w:rPr>
                <w:rFonts w:ascii="Calibri" w:hAnsi="Calibri"/>
                <w:sz w:val="22"/>
              </w:rPr>
              <w:t>FFO per Share (Diluted) — Q2 2026</w:t>
            </w:r>
          </w:p>
        </w:tc>
        <w:tc>
          <w:tcPr>
            <w:tcW w:type="dxa" w:w="1080"/>
          </w:tcPr>
          <w:p>
            <w:r>
              <w:rPr>
                <w:rFonts w:ascii="Calibri" w:hAnsi="Calibri"/>
                <w:sz w:val="22"/>
              </w:rPr>
              <w:t>$0.614</w:t>
            </w:r>
          </w:p>
        </w:tc>
        <w:tc>
          <w:tcPr>
            <w:tcW w:type="dxa" w:w="1080"/>
          </w:tcPr>
          <w:p>
            <w:r>
              <w:rPr>
                <w:rFonts w:ascii="Calibri" w:hAnsi="Calibri"/>
                <w:sz w:val="22"/>
              </w:rPr>
              <w:t>$0.615</w:t>
            </w:r>
          </w:p>
        </w:tc>
        <w:tc>
          <w:tcPr>
            <w:tcW w:type="dxa" w:w="1080"/>
          </w:tcPr>
          <w:p>
            <w:r>
              <w:rPr>
                <w:rFonts w:ascii="Calibri" w:hAnsi="Calibri"/>
                <w:sz w:val="22"/>
              </w:rPr>
              <w:t>+0.2%</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FFO per Share (Diluted) — FY 2026</w:t>
            </w:r>
          </w:p>
        </w:tc>
        <w:tc>
          <w:tcPr>
            <w:tcW w:type="dxa" w:w="1080"/>
          </w:tcPr>
          <w:p>
            <w:r>
              <w:rPr>
                <w:rFonts w:ascii="Calibri" w:hAnsi="Calibri"/>
                <w:sz w:val="22"/>
              </w:rPr>
              <w:t>$2.202</w:t>
            </w:r>
          </w:p>
        </w:tc>
        <w:tc>
          <w:tcPr>
            <w:tcW w:type="dxa" w:w="1080"/>
          </w:tcPr>
          <w:p>
            <w:r>
              <w:rPr>
                <w:rFonts w:ascii="Calibri" w:hAnsi="Calibri"/>
                <w:sz w:val="22"/>
              </w:rPr>
              <w:t>$2.152</w:t>
            </w:r>
          </w:p>
        </w:tc>
        <w:tc>
          <w:tcPr>
            <w:tcW w:type="dxa" w:w="1080"/>
          </w:tcPr>
          <w:p>
            <w:r>
              <w:rPr>
                <w:rFonts w:ascii="Calibri" w:hAnsi="Calibri"/>
                <w:sz w:val="22"/>
              </w:rPr>
              <w:t>-2.3%</w:t>
            </w:r>
          </w:p>
        </w:tc>
        <w:tc>
          <w:tcPr>
            <w:tcW w:type="dxa" w:w="1080"/>
          </w:tcPr>
          <w:p>
            <w:r>
              <w:rPr>
                <w:rFonts w:ascii="Calibri" w:hAnsi="Calibri"/>
                <w:sz w:val="22"/>
              </w:rPr>
              <w:t>$2.06–$2.12 (NAREIT FFO)</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guidance high end — market pricing in modest upside</w:t>
            </w:r>
          </w:p>
        </w:tc>
      </w:tr>
      <w:tr>
        <w:tc>
          <w:tcPr>
            <w:tcW w:type="dxa" w:w="1080"/>
          </w:tcPr>
          <w:p>
            <w:r>
              <w:rPr>
                <w:rFonts w:ascii="Calibri" w:hAnsi="Calibri"/>
                <w:sz w:val="22"/>
              </w:rPr>
              <w:t>Total Revenues — Q2 2026</w:t>
            </w:r>
          </w:p>
        </w:tc>
        <w:tc>
          <w:tcPr>
            <w:tcW w:type="dxa" w:w="1080"/>
          </w:tcPr>
          <w:p>
            <w:r>
              <w:rPr>
                <w:rFonts w:ascii="Calibri" w:hAnsi="Calibri"/>
                <w:sz w:val="22"/>
              </w:rPr>
              <w:t>$1,615.8M</w:t>
            </w:r>
          </w:p>
        </w:tc>
        <w:tc>
          <w:tcPr>
            <w:tcW w:type="dxa" w:w="1080"/>
          </w:tcPr>
          <w:p>
            <w:r>
              <w:rPr>
                <w:rFonts w:ascii="Calibri" w:hAnsi="Calibri"/>
                <w:sz w:val="22"/>
              </w:rPr>
              <w:t>$1,615.6M</w:t>
            </w:r>
          </w:p>
        </w:tc>
        <w:tc>
          <w:tcPr>
            <w:tcW w:type="dxa" w:w="1080"/>
          </w:tcPr>
          <w:p>
            <w:r>
              <w:rPr>
                <w:rFonts w:ascii="Calibri" w:hAnsi="Calibri"/>
                <w:sz w:val="22"/>
              </w:rPr>
              <w:t>Flat</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Revenues — FY 2026</w:t>
            </w:r>
          </w:p>
        </w:tc>
        <w:tc>
          <w:tcPr>
            <w:tcW w:type="dxa" w:w="1080"/>
          </w:tcPr>
          <w:p>
            <w:r>
              <w:rPr>
                <w:rFonts w:ascii="Calibri" w:hAnsi="Calibri"/>
                <w:sz w:val="22"/>
              </w:rPr>
              <w:t>$6,127.8M</w:t>
            </w:r>
          </w:p>
        </w:tc>
        <w:tc>
          <w:tcPr>
            <w:tcW w:type="dxa" w:w="1080"/>
          </w:tcPr>
          <w:p>
            <w:r>
              <w:rPr>
                <w:rFonts w:ascii="Calibri" w:hAnsi="Calibri"/>
                <w:sz w:val="22"/>
              </w:rPr>
              <w:t>$6,133.5M</w:t>
            </w:r>
          </w:p>
        </w:tc>
        <w:tc>
          <w:tcPr>
            <w:tcW w:type="dxa" w:w="1080"/>
          </w:tcPr>
          <w:p>
            <w:r>
              <w:rPr>
                <w:rFonts w:ascii="Calibri" w:hAnsi="Calibri"/>
                <w:sz w:val="22"/>
              </w:rPr>
              <w:t>+0.1%</w:t>
            </w:r>
          </w:p>
        </w:tc>
        <w:tc>
          <w:tcPr>
            <w:tcW w:type="dxa" w:w="1080"/>
          </w:tcPr>
          <w:p>
            <w:r>
              <w:rPr>
                <w:rFonts w:ascii="Calibri" w:hAnsi="Calibri"/>
                <w:sz w:val="22"/>
              </w:rPr>
              <w:t>N/A (not explicitly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for Q2 EBITDA have risen +2.7% since the Q1 print, consistent with the World Cup tailwind being incrementally priced in; FY FFO per share has moderated slightly (-2.3%), likely reflecting the dilutive impact of the special dividend and share count adjustments. The gap between consensus RevPAR growth (~3.5%) and management's Q2 guide (~4.4%) represents the key upside lever if World Cup demand materialized as expected.</w:t>
      </w:r>
    </w:p>
    <w:p>
      <w:r>
        <w:rPr>
          <w:rFonts w:ascii="Calibri" w:hAnsi="Calibri"/>
          <w:i/>
          <w:color w:val="525866"/>
          <w:sz w:val="22"/>
        </w:rPr>
        <w:t>Source: Visible Alpha Consensus and Actuals Data; HST Q1 2026 Earnings Release (May 6,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HST's +16% gain since the May 6 earnings date has been driven by both multiple expansion and estimate revisions — the stock has significantly outperformed XLRE (+1.0%) and the S&amp;P 500 (+5.1%) over the same period, suggesting the market has already priced in a solid Q2 print.</w:t>
      </w:r>
    </w:p>
    <w:p>
      <w:r>
        <w:rPr>
          <w:rFonts w:ascii="Calibri" w:hAnsi="Calibri"/>
          <w:color w:val="525866"/>
          <w:sz w:val="22"/>
        </w:rPr>
        <w:t xml:space="preserve">Since the Q1 2026 earnings date (May 6, 2026), HST has risen from $21.68 to $24.98 (as of August 4, 2026), a gain of approximately </w:t>
      </w:r>
      <w:r>
        <w:rPr>
          <w:rFonts w:ascii="Calibri" w:hAnsi="Calibri"/>
          <w:b/>
          <w:color w:val="525866"/>
          <w:sz w:val="22"/>
        </w:rPr>
        <w:t>+15.2%</w:t>
      </w:r>
      <w:r>
        <w:rPr>
          <w:rFonts w:ascii="Calibri" w:hAnsi="Calibri"/>
          <w:color w:val="525866"/>
          <w:sz w:val="22"/>
        </w:rPr>
        <w:t xml:space="preserve">, versus XLRE (Real Estate Select Sector ETF) at approximately </w:t>
      </w:r>
      <w:r>
        <w:rPr>
          <w:rFonts w:ascii="Calibri" w:hAnsi="Calibri"/>
          <w:b/>
          <w:color w:val="525866"/>
          <w:sz w:val="22"/>
        </w:rPr>
        <w:t>+0.9%</w:t>
      </w:r>
      <w:r>
        <w:rPr>
          <w:rFonts w:ascii="Calibri" w:hAnsi="Calibri"/>
          <w:color w:val="525866"/>
          <w:sz w:val="22"/>
        </w:rPr>
        <w:t xml:space="preserve"> and the S&amp;P 500 (SPY) at approximately </w:t>
      </w:r>
      <w:r>
        <w:rPr>
          <w:rFonts w:ascii="Calibri" w:hAnsi="Calibri"/>
          <w:b/>
          <w:color w:val="525866"/>
          <w:sz w:val="22"/>
        </w:rPr>
        <w:t>+5.1%</w:t>
      </w:r>
      <w:r>
        <w:rPr>
          <w:rFonts w:ascii="Calibri" w:hAnsi="Calibri"/>
          <w:color w:val="525866"/>
          <w:sz w:val="22"/>
        </w:rPr>
        <w:t xml:space="preserve"> over the same period. The outperformance is broad-based: HST's NTM EV/EBITDA multiple has expanded from ~10.3x (6 months ago) to ~11.6x currently, with roughly half the 12-month price gain attributable to multiple expansion and half to earnings revisions. The stock's strong run into earnings raises the bar for a positive reaction — an in-line print may not be sufficient to sustain the premium.</w:t>
      </w:r>
    </w:p>
    <w:p>
      <w:r>
        <w:rPr>
          <w:rFonts w:ascii="Calibri" w:hAnsi="Calibri"/>
          <w:b/>
          <w:i/>
          <w:color w:val="525866"/>
          <w:sz w:val="22"/>
        </w:rPr>
        <w:t>Chart: HST vs. XLRE vs. S&amp;P 500 (SPY) — Indexed to 100 at May 6, 2026 (Q1 2026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HST (Indexed)</w:t>
            </w:r>
          </w:p>
        </w:tc>
        <w:tc>
          <w:tcPr>
            <w:tcW w:type="dxa" w:w="2160"/>
            <w:shd w:val="clear" w:color="auto" w:fill="3B4259"/>
          </w:tcPr>
          <w:p>
            <w:r>
              <w:rPr>
                <w:rFonts w:ascii="Calibri" w:hAnsi="Calibri"/>
                <w:b/>
                <w:color w:val="FFFFFF"/>
                <w:sz w:val="22"/>
              </w:rPr>
              <w:t>XLRE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6,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106.0</w:t>
            </w:r>
          </w:p>
        </w:tc>
        <w:tc>
          <w:tcPr>
            <w:tcW w:type="dxa" w:w="2160"/>
          </w:tcPr>
          <w:p>
            <w:r>
              <w:rPr>
                <w:rFonts w:ascii="Calibri" w:hAnsi="Calibri"/>
                <w:sz w:val="22"/>
              </w:rPr>
              <w:t>99.2</w:t>
            </w:r>
          </w:p>
        </w:tc>
        <w:tc>
          <w:tcPr>
            <w:tcW w:type="dxa" w:w="2160"/>
          </w:tcPr>
          <w:p>
            <w:r>
              <w:rPr>
                <w:rFonts w:ascii="Calibri" w:hAnsi="Calibri"/>
                <w:sz w:val="22"/>
              </w:rPr>
              <w:t>103.1</w:t>
            </w:r>
          </w:p>
        </w:tc>
      </w:tr>
      <w:tr>
        <w:tc>
          <w:tcPr>
            <w:tcW w:type="dxa" w:w="2160"/>
          </w:tcPr>
          <w:p>
            <w:r>
              <w:rPr>
                <w:rFonts w:ascii="Calibri" w:hAnsi="Calibri"/>
                <w:sz w:val="22"/>
              </w:rPr>
              <w:t>Jun 18, 2026</w:t>
            </w:r>
          </w:p>
        </w:tc>
        <w:tc>
          <w:tcPr>
            <w:tcW w:type="dxa" w:w="2160"/>
          </w:tcPr>
          <w:p>
            <w:r>
              <w:rPr>
                <w:rFonts w:ascii="Calibri" w:hAnsi="Calibri"/>
                <w:sz w:val="22"/>
              </w:rPr>
              <w:t>115.4</w:t>
            </w:r>
          </w:p>
        </w:tc>
        <w:tc>
          <w:tcPr>
            <w:tcW w:type="dxa" w:w="2160"/>
          </w:tcPr>
          <w:p>
            <w:r>
              <w:rPr>
                <w:rFonts w:ascii="Calibri" w:hAnsi="Calibri"/>
                <w:sz w:val="22"/>
              </w:rPr>
              <w:t>98.0</w:t>
            </w:r>
          </w:p>
        </w:tc>
        <w:tc>
          <w:tcPr>
            <w:tcW w:type="dxa" w:w="2160"/>
          </w:tcPr>
          <w:p>
            <w:r>
              <w:rPr>
                <w:rFonts w:ascii="Calibri" w:hAnsi="Calibri"/>
                <w:sz w:val="22"/>
              </w:rPr>
              <w:t>101.8</w:t>
            </w:r>
          </w:p>
        </w:tc>
      </w:tr>
      <w:tr>
        <w:tc>
          <w:tcPr>
            <w:tcW w:type="dxa" w:w="2160"/>
          </w:tcPr>
          <w:p>
            <w:r>
              <w:rPr>
                <w:rFonts w:ascii="Calibri" w:hAnsi="Calibri"/>
                <w:sz w:val="22"/>
              </w:rPr>
              <w:t>Jun 30, 2026</w:t>
            </w:r>
          </w:p>
        </w:tc>
        <w:tc>
          <w:tcPr>
            <w:tcW w:type="dxa" w:w="2160"/>
          </w:tcPr>
          <w:p>
            <w:r>
              <w:rPr>
                <w:rFonts w:ascii="Calibri" w:hAnsi="Calibri"/>
                <w:sz w:val="22"/>
              </w:rPr>
              <w:t>109.4</w:t>
            </w:r>
          </w:p>
        </w:tc>
        <w:tc>
          <w:tcPr>
            <w:tcW w:type="dxa" w:w="2160"/>
          </w:tcPr>
          <w:p>
            <w:r>
              <w:rPr>
                <w:rFonts w:ascii="Calibri" w:hAnsi="Calibri"/>
                <w:sz w:val="22"/>
              </w:rPr>
              <w:t>98.4</w:t>
            </w:r>
          </w:p>
        </w:tc>
        <w:tc>
          <w:tcPr>
            <w:tcW w:type="dxa" w:w="2160"/>
          </w:tcPr>
          <w:p>
            <w:r>
              <w:rPr>
                <w:rFonts w:ascii="Calibri" w:hAnsi="Calibri"/>
                <w:sz w:val="22"/>
              </w:rPr>
              <w:t>101.8</w:t>
            </w:r>
          </w:p>
        </w:tc>
      </w:tr>
      <w:tr>
        <w:tc>
          <w:tcPr>
            <w:tcW w:type="dxa" w:w="2160"/>
          </w:tcPr>
          <w:p>
            <w:r>
              <w:rPr>
                <w:rFonts w:ascii="Calibri" w:hAnsi="Calibri"/>
                <w:sz w:val="22"/>
              </w:rPr>
              <w:t>Jul 28, 2026</w:t>
            </w:r>
          </w:p>
        </w:tc>
        <w:tc>
          <w:tcPr>
            <w:tcW w:type="dxa" w:w="2160"/>
          </w:tcPr>
          <w:p>
            <w:r>
              <w:rPr>
                <w:rFonts w:ascii="Calibri" w:hAnsi="Calibri"/>
                <w:sz w:val="22"/>
              </w:rPr>
              <w:t>117.5</w:t>
            </w:r>
          </w:p>
        </w:tc>
        <w:tc>
          <w:tcPr>
            <w:tcW w:type="dxa" w:w="2160"/>
          </w:tcPr>
          <w:p>
            <w:r>
              <w:rPr>
                <w:rFonts w:ascii="Calibri" w:hAnsi="Calibri"/>
                <w:sz w:val="22"/>
              </w:rPr>
              <w:t>102.8</w:t>
            </w:r>
          </w:p>
        </w:tc>
        <w:tc>
          <w:tcPr>
            <w:tcW w:type="dxa" w:w="2160"/>
          </w:tcPr>
          <w:p>
            <w:r>
              <w:rPr>
                <w:rFonts w:ascii="Calibri" w:hAnsi="Calibri"/>
                <w:sz w:val="22"/>
              </w:rPr>
              <w:t>101.0</w:t>
            </w:r>
          </w:p>
        </w:tc>
      </w:tr>
      <w:tr>
        <w:tc>
          <w:tcPr>
            <w:tcW w:type="dxa" w:w="2160"/>
          </w:tcPr>
          <w:p>
            <w:r>
              <w:rPr>
                <w:rFonts w:ascii="Calibri" w:hAnsi="Calibri"/>
                <w:sz w:val="22"/>
              </w:rPr>
              <w:t>Aug 4, 2026 (Latest)</w:t>
            </w:r>
          </w:p>
        </w:tc>
        <w:tc>
          <w:tcPr>
            <w:tcW w:type="dxa" w:w="2160"/>
          </w:tcPr>
          <w:p>
            <w:r>
              <w:rPr>
                <w:rFonts w:ascii="Calibri" w:hAnsi="Calibri"/>
                <w:sz w:val="22"/>
              </w:rPr>
              <w:t>115.2</w:t>
            </w:r>
          </w:p>
        </w:tc>
        <w:tc>
          <w:tcPr>
            <w:tcW w:type="dxa" w:w="2160"/>
          </w:tcPr>
          <w:p>
            <w:r>
              <w:rPr>
                <w:rFonts w:ascii="Calibri" w:hAnsi="Calibri"/>
                <w:sz w:val="22"/>
              </w:rPr>
              <w:t>100.9</w:t>
            </w:r>
          </w:p>
        </w:tc>
        <w:tc>
          <w:tcPr>
            <w:tcW w:type="dxa" w:w="2160"/>
          </w:tcPr>
          <w:p>
            <w:r>
              <w:rPr>
                <w:rFonts w:ascii="Calibri" w:hAnsi="Calibri"/>
                <w:sz w:val="22"/>
              </w:rPr>
              <w:t>105.1</w:t>
            </w:r>
          </w:p>
        </w:tc>
      </w:tr>
    </w:tbl>
    <w:p>
      <w:r>
        <w:rPr>
          <w:rFonts w:ascii="Calibri" w:hAnsi="Calibri"/>
          <w:b/>
          <w:color w:val="525866"/>
          <w:sz w:val="22"/>
        </w:rPr>
        <w:t xml:space="preserve">Note: </w:t>
      </w:r>
      <w:r>
        <w:rPr>
          <w:rFonts w:ascii="Calibri" w:hAnsi="Calibri"/>
          <w:color w:val="525866"/>
          <w:sz w:val="22"/>
        </w:rPr>
        <w:t>Indexed to 100 at May 6, 2026 close. HST = $21.68, XLRE = $44.74, SPY = $733.83 on base date. XLRE (Real Estate Select Sector SPDR ETF) is the appropriate sector benchmark for HST as a lodging REIT. Key event: Special dividend of $0.92/share (incl. $0.72 special) paid July 15, 2026 — stock went ex-dividend June 30, 2026, explaining the pullback from the June 18 peak.</w:t>
      </w:r>
    </w:p>
    <w:p>
      <w:r>
        <w:rPr>
          <w:rFonts w:ascii="Calibri" w:hAnsi="Calibri"/>
          <w:i/>
          <w:color w:val="525866"/>
          <w:sz w:val="22"/>
        </w:rPr>
        <w:t>Source: Stock Price Data (Yahoo Finance).</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confirmation that World Cup demand in HST's key markets (New York, Miami) materialized strongly, with peer commentary from Marriott and Hilton both raising full-year RevPAR guidance and citing World Cup as a meaningful tailwind — a direct positive read-through for HST's Q2 print.</w:t>
      </w:r>
    </w:p>
    <w:p>
      <w:pPr>
        <w:pStyle w:val="ListBullet"/>
        <w:ind w:left="360" w:hanging="360"/>
      </w:pPr>
      <w:r>
        <w:rPr>
          <w:rFonts w:ascii="Calibri" w:hAnsi="Calibri"/>
          <w:b/>
          <w:color w:val="525866"/>
          <w:sz w:val="22"/>
        </w:rPr>
        <w:t>Aug 3, 2026 — Marriott (MAR) Q2 2026 Earnings Beat-and-Raise:</w:t>
      </w:r>
      <w:r>
        <w:rPr>
          <w:rFonts w:ascii="Calibri" w:hAnsi="Calibri"/>
          <w:color w:val="525866"/>
          <w:sz w:val="22"/>
        </w:rPr>
        <w:t xml:space="preserve"> MAR reported Q2 adjusted EPS of $3.19 vs. consensus $3.05, with RevPAR growth of +3.4% (vs. Street +3.0%). Domestic U.S./Canada RevPAR grew +5%. Management raised full-year RevPAR guidance to +3.0%–3.5% (from +2.0%–3.0%) and cited World Cup as providing ~45 bps of global RevPAR benefit. </w:t>
      </w:r>
      <w:r>
        <w:rPr>
          <w:rFonts w:ascii="Calibri" w:hAnsi="Calibri"/>
          <w:color w:val="525866"/>
          <w:sz w:val="22"/>
        </w:rPr>
        <w:t>Implication: Strong positive read-through for HST's Q2 RevPAR, particularly in U.S. urban markets.</w:t>
      </w:r>
    </w:p>
    <w:p>
      <w:pPr>
        <w:pStyle w:val="ListBullet"/>
        <w:ind w:left="360" w:hanging="360"/>
      </w:pPr>
      <w:r>
        <w:rPr>
          <w:rFonts w:ascii="Calibri" w:hAnsi="Calibri"/>
          <w:b/>
          <w:color w:val="525866"/>
          <w:sz w:val="22"/>
        </w:rPr>
        <w:t>Jul 28, 2026 — Hilton (HLT) Q2 2026 Earnings:</w:t>
      </w:r>
      <w:r>
        <w:rPr>
          <w:rFonts w:ascii="Calibri" w:hAnsi="Calibri"/>
          <w:color w:val="525866"/>
          <w:sz w:val="22"/>
        </w:rPr>
        <w:t xml:space="preserve"> HLT reported system-wide RevPAR growth of +3.9% (currency-neutral), with U.S. RevPAR up +5.4%. Raised full-year RevPAR guidance to +3.0%–3.5% (from +2.0%–3.0%). Q3 2026 RevPAR guided to +4.0%, citing World Cup and favorable calendar shifts. </w:t>
      </w:r>
      <w:r>
        <w:rPr>
          <w:rFonts w:ascii="Calibri" w:hAnsi="Calibri"/>
          <w:color w:val="525866"/>
          <w:sz w:val="22"/>
        </w:rPr>
        <w:t>Implication: Confirms broad-based U.S. luxury demand strength heading into HST's Q2 print.</w:t>
      </w:r>
    </w:p>
    <w:p>
      <w:pPr>
        <w:pStyle w:val="ListBullet"/>
        <w:ind w:left="360" w:hanging="360"/>
      </w:pPr>
      <w:r>
        <w:rPr>
          <w:rFonts w:ascii="Calibri" w:hAnsi="Calibri"/>
          <w:b/>
          <w:color w:val="525866"/>
          <w:sz w:val="22"/>
        </w:rPr>
        <w:t>Jul 30, 2026 — Pebblebrook Hotel Trust (PEB) Q2 2026 Earnings:</w:t>
      </w:r>
      <w:r>
        <w:rPr>
          <w:rFonts w:ascii="Calibri" w:hAnsi="Calibri"/>
          <w:color w:val="525866"/>
          <w:sz w:val="22"/>
        </w:rPr>
        <w:t xml:space="preserve"> PEB reported Q2 results and raised full-year guidance. CEO noted "broad-based strength in both group and transient demand" and that World Cup provided a tailwind in several markets. July RevPAR tracking +7%–8% year-over-year through July 25. </w:t>
      </w:r>
      <w:r>
        <w:rPr>
          <w:rFonts w:ascii="Calibri" w:hAnsi="Calibri"/>
          <w:color w:val="525866"/>
          <w:sz w:val="22"/>
        </w:rPr>
        <w:t>Implication: Positive read-through for HST's Q2 and early Q3 demand trends.</w:t>
      </w:r>
    </w:p>
    <w:p>
      <w:pPr>
        <w:pStyle w:val="ListBullet"/>
        <w:ind w:left="360" w:hanging="360"/>
      </w:pPr>
      <w:r>
        <w:rPr>
          <w:rFonts w:ascii="Calibri" w:hAnsi="Calibri"/>
          <w:b/>
          <w:color w:val="525866"/>
          <w:sz w:val="22"/>
        </w:rPr>
        <w:t>Jul 29, 2026 — Hyatt (H) Q2 2026 Earnings:</w:t>
      </w:r>
      <w:r>
        <w:rPr>
          <w:rFonts w:ascii="Calibri" w:hAnsi="Calibri"/>
          <w:color w:val="525866"/>
          <w:sz w:val="22"/>
        </w:rPr>
        <w:t xml:space="preserve"> Hyatt reported system-wide RevPAR growth of +5.9%, with U.S. RevPAR up +6.7%. Raised full-year system-wide RevPAR guidance to +3.5%–4.5% (from prior). Luxury and Upper Upscale chain scales drove outperformance. </w:t>
      </w:r>
      <w:r>
        <w:rPr>
          <w:rFonts w:ascii="Calibri" w:hAnsi="Calibri"/>
          <w:color w:val="525866"/>
          <w:sz w:val="22"/>
        </w:rPr>
        <w:t>Implication: Directly relevant to HST's luxury/upper-upscale portfolio; confirms segment strength.</w:t>
      </w:r>
    </w:p>
    <w:p>
      <w:pPr>
        <w:pStyle w:val="ListBullet"/>
        <w:ind w:left="360" w:hanging="360"/>
      </w:pPr>
      <w:r>
        <w:rPr>
          <w:rFonts w:ascii="Calibri" w:hAnsi="Calibri"/>
          <w:b/>
          <w:color w:val="525866"/>
          <w:sz w:val="22"/>
        </w:rPr>
        <w:t>Jul 29, 2026 — DiamondRock Hospitality (DRH) Q2 2026 Earnings:</w:t>
      </w:r>
      <w:r>
        <w:rPr>
          <w:rFonts w:ascii="Calibri" w:hAnsi="Calibri"/>
          <w:color w:val="525866"/>
          <w:sz w:val="22"/>
        </w:rPr>
        <w:t xml:space="preserve"> DRH raised full-year RevPAR guidance by 75 bps at the midpoint to +2.5%–4.0%, citing "broad-based strength in both group and transient demand" and improved booking pace for the remainder of the year. Held hotel expense growth to just 1.8% in Q2, driving margin expansion. </w:t>
      </w:r>
      <w:r>
        <w:rPr>
          <w:rFonts w:ascii="Calibri" w:hAnsi="Calibri"/>
          <w:color w:val="525866"/>
          <w:sz w:val="22"/>
        </w:rPr>
        <w:t>Implication: Positive read-through for HST's margin execution and demand trends.</w:t>
      </w:r>
    </w:p>
    <w:p>
      <w:pPr>
        <w:pStyle w:val="ListBullet"/>
        <w:ind w:left="360" w:hanging="360"/>
      </w:pPr>
      <w:r>
        <w:rPr>
          <w:rFonts w:ascii="Calibri" w:hAnsi="Calibri"/>
          <w:b/>
          <w:color w:val="525866"/>
          <w:sz w:val="22"/>
        </w:rPr>
        <w:t>Aug 4, 2026 — Booking Holdings (BKNG) Q2 2026 Earnings:</w:t>
      </w:r>
      <w:r>
        <w:rPr>
          <w:rFonts w:ascii="Calibri" w:hAnsi="Calibri"/>
          <w:color w:val="525866"/>
          <w:sz w:val="22"/>
        </w:rPr>
        <w:t xml:space="preserve"> BKNG reported solid upside with bookings at $51B vs. Street $49.7B. Management indicated demand remains resilient in Q3. </w:t>
      </w:r>
      <w:r>
        <w:rPr>
          <w:rFonts w:ascii="Calibri" w:hAnsi="Calibri"/>
          <w:color w:val="525866"/>
          <w:sz w:val="22"/>
        </w:rPr>
        <w:t>Implication: Confirms underlying travel demand remains healthy heading into Q3.</w:t>
      </w:r>
    </w:p>
    <w:p>
      <w:pPr>
        <w:pStyle w:val="ListBullet"/>
        <w:ind w:left="360" w:hanging="360"/>
      </w:pPr>
      <w:r>
        <w:rPr>
          <w:rFonts w:ascii="Calibri" w:hAnsi="Calibri"/>
          <w:b/>
          <w:color w:val="525866"/>
          <w:sz w:val="22"/>
        </w:rPr>
        <w:t>Aug 2, 2026 — MGM Resorts Q2 2026 Earnings:</w:t>
      </w:r>
      <w:r>
        <w:rPr>
          <w:rFonts w:ascii="Calibri" w:hAnsi="Calibri"/>
          <w:color w:val="525866"/>
          <w:sz w:val="22"/>
        </w:rPr>
        <w:t xml:space="preserve"> MGM reported Las Vegas Strip revenue up 3% to $2.2B, crediting strong convention bookings and increased flight capacity. Adjusted EPS of $0.59 beat consensus of $0.56. </w:t>
      </w:r>
      <w:r>
        <w:rPr>
          <w:rFonts w:ascii="Calibri" w:hAnsi="Calibri"/>
          <w:color w:val="525866"/>
          <w:sz w:val="22"/>
        </w:rPr>
        <w:t>Implication: Confirms Las Vegas market strength, relevant to HST's Las Vegas exposure.</w:t>
      </w:r>
    </w:p>
    <w:p>
      <w:pPr>
        <w:pStyle w:val="ListBullet"/>
        <w:ind w:left="360" w:hanging="360"/>
      </w:pPr>
      <w:r>
        <w:rPr>
          <w:rFonts w:ascii="Calibri" w:hAnsi="Calibri"/>
          <w:b/>
          <w:color w:val="525866"/>
          <w:sz w:val="22"/>
        </w:rPr>
        <w:t>May 6, 2026 — Special Dividend Declared ($0.92/share):</w:t>
      </w:r>
      <w:r>
        <w:rPr>
          <w:rFonts w:ascii="Calibri" w:hAnsi="Calibri"/>
          <w:color w:val="525866"/>
          <w:sz w:val="22"/>
        </w:rPr>
        <w:t xml:space="preserve"> HST's Board authorized a Q2 dividend of $0.92/share, comprising a regular $0.20 quarterly dividend and a $0.72 special dividend representing distribution of the ~$500M taxable gain from the Four Seasons resort sales. Paid July 15, 2026 to holders of record June 30, 2026. </w:t>
      </w:r>
      <w:r>
        <w:rPr>
          <w:rFonts w:ascii="Calibri" w:hAnsi="Calibri"/>
          <w:color w:val="525866"/>
          <w:sz w:val="22"/>
        </w:rPr>
        <w:t>Implication: Capital return event completed; post-dividend leverage expected at ~2.5x, maintaining fortress balance sheet.</w:t>
      </w:r>
    </w:p>
    <w:p>
      <w:pPr>
        <w:pStyle w:val="ListBullet"/>
        <w:ind w:left="360" w:hanging="360"/>
      </w:pPr>
      <w:r>
        <w:rPr>
          <w:rFonts w:ascii="Calibri" w:hAnsi="Calibri"/>
          <w:b/>
          <w:color w:val="525866"/>
          <w:sz w:val="22"/>
        </w:rPr>
        <w:t>Jun 18, 2026 — Q2 2026 Earnings Call Announced:</w:t>
      </w:r>
      <w:r>
        <w:rPr>
          <w:rFonts w:ascii="Calibri" w:hAnsi="Calibri"/>
          <w:color w:val="525866"/>
          <w:sz w:val="22"/>
        </w:rPr>
        <w:t xml:space="preserve"> HST formally announced its Q2 2026 earnings call for August 6, 2026 at 10:00 AM ET. No pre-announcement or guidance revision was issued alongside this announcement. </w:t>
      </w:r>
      <w:r>
        <w:rPr>
          <w:rFonts w:ascii="Calibri" w:hAnsi="Calibri"/>
          <w:color w:val="525866"/>
          <w:sz w:val="22"/>
        </w:rPr>
        <w:t>Implication: Absence of pre-announcement is a mild positive signal — no negative surprise to flag.</w:t>
      </w:r>
    </w:p>
    <w:p>
      <w:pPr>
        <w:pStyle w:val="ListBullet"/>
        <w:ind w:left="360" w:hanging="360"/>
      </w:pPr>
      <w:r>
        <w:rPr>
          <w:rFonts w:ascii="Calibri" w:hAnsi="Calibri"/>
          <w:b/>
          <w:color w:val="525866"/>
          <w:sz w:val="22"/>
        </w:rPr>
        <w:t>Ongoing — World Cup Demand Tracking:</w:t>
      </w:r>
      <w:r>
        <w:rPr>
          <w:rFonts w:ascii="Calibri" w:hAnsi="Calibri"/>
          <w:color w:val="525866"/>
          <w:sz w:val="22"/>
        </w:rPr>
        <w:t xml:space="preserve"> Per Q1 call commentary, transient revenue pace in World Cup markets was up nearly 40% year-over-year, with 40% of occupancy expected to book in the final week before matches. Matches in 10 HST markets, led by New York and Miami. </w:t>
      </w:r>
      <w:r>
        <w:rPr>
          <w:rFonts w:ascii="Calibri" w:hAnsi="Calibri"/>
          <w:color w:val="525866"/>
          <w:sz w:val="22"/>
        </w:rPr>
        <w:t>Implication: The single biggest swing factor for Q2 RevPAR; actual fill rates will determine whether HST beats or misses the ~4.4% RevPAR growth guide.</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Two insiders sold shares in May 2026 shortly after the Q1 earnings print — one under a 10b5-1 plan (routine) and one discretionary — but no open-market purchases have been filed. The discretionary sale by the Chief Investment Officer is worth monitoring but is not alarming given the stock's strong run post-earnings.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Nathan S. Tyrrell</w:t>
            </w:r>
          </w:p>
        </w:tc>
        <w:tc>
          <w:tcPr>
            <w:tcW w:type="dxa" w:w="1440"/>
          </w:tcPr>
          <w:p>
            <w:r>
              <w:rPr>
                <w:rFonts w:ascii="Calibri" w:hAnsi="Calibri"/>
                <w:sz w:val="22"/>
              </w:rPr>
              <w:t>EVP, Chief Investment Officer</w:t>
            </w:r>
          </w:p>
        </w:tc>
        <w:tc>
          <w:tcPr>
            <w:tcW w:type="dxa" w:w="1440"/>
          </w:tcPr>
          <w:p>
            <w:r>
              <w:rPr>
                <w:rFonts w:ascii="Calibri" w:hAnsi="Calibri"/>
                <w:sz w:val="22"/>
              </w:rPr>
              <w:t>Open Market Sale</w:t>
            </w:r>
          </w:p>
        </w:tc>
        <w:tc>
          <w:tcPr>
            <w:tcW w:type="dxa" w:w="1440"/>
          </w:tcPr>
          <w:p>
            <w:r>
              <w:rPr>
                <w:rFonts w:ascii="Calibri" w:hAnsi="Calibri"/>
                <w:sz w:val="22"/>
              </w:rPr>
              <w:t>58,579 shares</w:t>
            </w:r>
          </w:p>
        </w:tc>
        <w:tc>
          <w:tcPr>
            <w:tcW w:type="dxa" w:w="1440"/>
          </w:tcPr>
          <w:p>
            <w:r>
              <w:rPr>
                <w:rFonts w:ascii="Calibri" w:hAnsi="Calibri"/>
                <w:sz w:val="22"/>
              </w:rPr>
              <w:t>May 8, 2026</w:t>
            </w:r>
          </w:p>
        </w:tc>
        <w:tc>
          <w:tcPr>
            <w:tcW w:type="dxa" w:w="1440"/>
          </w:tcPr>
          <w:p>
            <w:r>
              <w:rPr>
                <w:rFonts w:ascii="Calibri" w:hAnsi="Calibri"/>
                <w:sz w:val="22"/>
              </w:rPr>
              <w:t>Discretionary sale; 2 days post Q1 earnings; retained 697,658 shares (~92% of pre-sale holdings)</w:t>
            </w:r>
          </w:p>
        </w:tc>
      </w:tr>
      <w:tr>
        <w:tc>
          <w:tcPr>
            <w:tcW w:type="dxa" w:w="1440"/>
          </w:tcPr>
          <w:p>
            <w:r>
              <w:rPr>
                <w:rFonts w:ascii="Calibri" w:hAnsi="Calibri"/>
                <w:sz w:val="22"/>
              </w:rPr>
              <w:t>Nathan S. Tyrrell</w:t>
            </w:r>
          </w:p>
        </w:tc>
        <w:tc>
          <w:tcPr>
            <w:tcW w:type="dxa" w:w="1440"/>
          </w:tcPr>
          <w:p>
            <w:r>
              <w:rPr>
                <w:rFonts w:ascii="Calibri" w:hAnsi="Calibri"/>
                <w:sz w:val="22"/>
              </w:rPr>
              <w:t>EVP, Chief Investment Officer</w:t>
            </w:r>
          </w:p>
        </w:tc>
        <w:tc>
          <w:tcPr>
            <w:tcW w:type="dxa" w:w="1440"/>
          </w:tcPr>
          <w:p>
            <w:r>
              <w:rPr>
                <w:rFonts w:ascii="Calibri" w:hAnsi="Calibri"/>
                <w:sz w:val="22"/>
              </w:rPr>
              <w:t>Open Market Sale</w:t>
            </w:r>
          </w:p>
        </w:tc>
        <w:tc>
          <w:tcPr>
            <w:tcW w:type="dxa" w:w="1440"/>
          </w:tcPr>
          <w:p>
            <w:r>
              <w:rPr>
                <w:rFonts w:ascii="Calibri" w:hAnsi="Calibri"/>
                <w:sz w:val="22"/>
              </w:rPr>
              <w:t>15,569 shares</w:t>
            </w:r>
          </w:p>
        </w:tc>
        <w:tc>
          <w:tcPr>
            <w:tcW w:type="dxa" w:w="1440"/>
          </w:tcPr>
          <w:p>
            <w:r>
              <w:rPr>
                <w:rFonts w:ascii="Calibri" w:hAnsi="Calibri"/>
                <w:sz w:val="22"/>
              </w:rPr>
              <w:t>May 26, 2026</w:t>
            </w:r>
          </w:p>
        </w:tc>
        <w:tc>
          <w:tcPr>
            <w:tcW w:type="dxa" w:w="1440"/>
          </w:tcPr>
          <w:p>
            <w:r>
              <w:rPr>
                <w:rFonts w:ascii="Calibri" w:hAnsi="Calibri"/>
                <w:sz w:val="22"/>
              </w:rPr>
              <w:t>Discretionary sale; retained 682,089 shares; second sale within 3 weeks of Q1 print</w:t>
            </w:r>
          </w:p>
        </w:tc>
      </w:tr>
      <w:tr>
        <w:tc>
          <w:tcPr>
            <w:tcW w:type="dxa" w:w="1440"/>
          </w:tcPr>
          <w:p>
            <w:r>
              <w:rPr>
                <w:rFonts w:ascii="Calibri" w:hAnsi="Calibri"/>
                <w:sz w:val="22"/>
              </w:rPr>
              <w:t>Walter C. Rakowich</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3,408 shares</w:t>
            </w:r>
          </w:p>
        </w:tc>
        <w:tc>
          <w:tcPr>
            <w:tcW w:type="dxa" w:w="1440"/>
          </w:tcPr>
          <w:p>
            <w:r>
              <w:rPr>
                <w:rFonts w:ascii="Calibri" w:hAnsi="Calibri"/>
                <w:sz w:val="22"/>
              </w:rPr>
              <w:t>May 26, 2026</w:t>
            </w:r>
          </w:p>
        </w:tc>
        <w:tc>
          <w:tcPr>
            <w:tcW w:type="dxa" w:w="1440"/>
          </w:tcPr>
          <w:p>
            <w:r>
              <w:rPr>
                <w:rFonts w:ascii="Calibri" w:hAnsi="Calibri"/>
                <w:sz w:val="22"/>
              </w:rPr>
              <w:t>Pre-planned 10b5-1 sale; routine/non-discretionary; retained 76,537 shares</w:t>
            </w:r>
          </w:p>
        </w:tc>
      </w:tr>
    </w:tbl>
    <w:p>
      <w:r>
        <w:rPr>
          <w:rFonts w:ascii="Calibri" w:hAnsi="Calibri"/>
          <w:color w:val="525866"/>
          <w:sz w:val="22"/>
        </w:rPr>
        <w:t>No open-market purchases have been filed in the period since Q1 earnings. The two discretionary sales by the Chief Investment Officer (totaling ~74,148 shares, or ~9.6% of his pre-sale position) occurred immediately after the Q1 print when the stock was trading in the $21–$23 range — well below current levels (~$25). This is not an alarming signal, but the absence of any insider buying despite the company's own stated view that the stock is undervalued is a mild negative observation.</w:t>
      </w:r>
    </w:p>
    <w:p>
      <w:r>
        <w:rPr>
          <w:rFonts w:ascii="Calibri" w:hAnsi="Calibri"/>
          <w:i/>
          <w:color w:val="525866"/>
          <w:sz w:val="22"/>
        </w:rPr>
        <w:t>Source: SEC Form 4 Filings (Insider Transaction Data).</w:t>
      </w:r>
    </w:p>
    <w:p>
      <w:r>
        <w:br w:type="page"/>
      </w:r>
    </w:p>
    <w:p>
      <w:pPr>
        <w:pStyle w:val="Heading1"/>
        <w:pBdr>
          <w:bottom w:val="single" w:sz="4" w:space="1" w:color="FB9120"/>
        </w:pBdr>
      </w:pPr>
      <w:r>
        <w:rPr>
          <w:rFonts w:ascii="Calibri" w:hAnsi="Calibri"/>
          <w:b/>
          <w:color w:val="3B4259"/>
          <w:sz w:val="40"/>
        </w:rPr>
        <w:t>8. Peer Commentary Read-Through (Last 60 Days)</w:t>
      </w:r>
    </w:p>
    <w:p>
      <w:r>
        <w:rPr>
          <w:rFonts w:ascii="Calibri" w:hAnsi="Calibri"/>
          <w:b/>
          <w:color w:val="525866"/>
          <w:sz w:val="22"/>
        </w:rPr>
        <w:t xml:space="preserve">Scope &amp; Methodology: </w:t>
      </w:r>
      <w:r>
        <w:rPr>
          <w:rFonts w:ascii="Calibri" w:hAnsi="Calibri"/>
          <w:color w:val="525866"/>
          <w:sz w:val="22"/>
        </w:rPr>
        <w:t xml:space="preserve">This section includes only peer commentary from the last 60 days (June 5 – August 4, 2026) that speaks to HST's </w:t>
      </w:r>
      <w:r>
        <w:rPr>
          <w:rFonts w:ascii="Calibri" w:hAnsi="Calibri"/>
          <w:b/>
          <w:color w:val="525866"/>
          <w:sz w:val="22"/>
        </w:rPr>
        <w:t>current reporting quarter (Q2 2026) or the forward period (Q3 2026 and beyond)</w:t>
      </w:r>
      <w:r>
        <w:rPr>
          <w:rFonts w:ascii="Calibri" w:hAnsi="Calibri"/>
          <w:color w:val="525866"/>
          <w:sz w:val="22"/>
        </w:rPr>
        <w:t xml:space="preserve">. Retrospective commentary about peers' own prior-quarter results (e.g., Q1 2026 performance) is excluded unless it contains explicit forward-looking guidance or demand trend commentary applicable to HST's Q2 period. Each entry is labeled as a </w:t>
      </w:r>
      <w:r>
        <w:rPr>
          <w:rFonts w:ascii="Calibri" w:hAnsi="Calibri"/>
          <w:b/>
          <w:color w:val="30A46C"/>
          <w:sz w:val="22"/>
        </w:rPr>
        <w:t>Direct Read-Through</w:t>
      </w:r>
      <w:r>
        <w:rPr>
          <w:rFonts w:ascii="Calibri" w:hAnsi="Calibri"/>
          <w:color w:val="525866"/>
          <w:sz w:val="22"/>
        </w:rPr>
        <w:t xml:space="preserve"> (high relevance, directly applicable to HST's portfolio and markets) or a </w:t>
      </w:r>
      <w:r>
        <w:rPr>
          <w:rFonts w:ascii="Calibri" w:hAnsi="Calibri"/>
          <w:b/>
          <w:color w:val="002FA7"/>
          <w:sz w:val="22"/>
        </w:rPr>
        <w:t>Partial Read-Through / Limitation</w:t>
      </w:r>
      <w:r>
        <w:rPr>
          <w:rFonts w:ascii="Calibri" w:hAnsi="Calibri"/>
          <w:color w:val="525866"/>
          <w:sz w:val="22"/>
        </w:rPr>
        <w:t xml:space="preserve"> (relevant but with caveats).</w:t>
      </w:r>
    </w:p>
    <w:p>
      <w:pPr>
        <w:pStyle w:val="Heading2"/>
      </w:pPr>
      <w:r>
        <w:rPr>
          <w:rFonts w:ascii="Calibri" w:hAnsi="Calibri"/>
          <w:b/>
          <w:color w:val="3B4259"/>
          <w:sz w:val="28"/>
        </w:rPr>
        <w:t>8.1 Marriott International (MAR) — Q2 2026 Earnings Call, August 3, 2026</w:t>
      </w:r>
    </w:p>
    <w:p>
      <w:r>
        <w:rPr>
          <w:rFonts w:ascii="Calibri" w:hAnsi="Calibri"/>
          <w:b/>
          <w:color w:val="30A46C"/>
          <w:sz w:val="22"/>
        </w:rPr>
        <w:t xml:space="preserve">Relevance to HST Q2 2026: </w:t>
      </w:r>
      <w:r>
        <w:rPr>
          <w:rFonts w:ascii="Calibri" w:hAnsi="Calibri"/>
          <w:b/>
          <w:color w:val="525866"/>
          <w:sz w:val="22"/>
        </w:rPr>
        <w:t xml:space="preserve"> Direct Read-Through</w:t>
      </w:r>
    </w:p>
    <w:p>
      <w:pPr>
        <w:pStyle w:val="ListBullet"/>
        <w:ind w:left="360" w:hanging="360"/>
      </w:pPr>
      <w:r>
        <w:rPr>
          <w:rFonts w:ascii="Calibri" w:hAnsi="Calibri"/>
          <w:color w:val="525866"/>
          <w:sz w:val="22"/>
        </w:rPr>
        <w:t xml:space="preserve">U.S. &amp; Canada RevPAR grew +5% in Q2, with management noting "strong demand trends that extended into July across chain scales and customer segments." </w:t>
      </w:r>
      <w:r>
        <w:rPr>
          <w:rFonts w:ascii="Calibri" w:hAnsi="Calibri"/>
          <w:b/>
          <w:color w:val="525866"/>
          <w:sz w:val="22"/>
        </w:rPr>
        <w:t xml:space="preserve">HST implication: </w:t>
      </w:r>
      <w:r>
        <w:rPr>
          <w:rFonts w:ascii="Calibri" w:hAnsi="Calibri"/>
          <w:color w:val="525866"/>
          <w:sz w:val="22"/>
        </w:rPr>
        <w:t>Directly confirms the demand environment in HST's core U.S. urban and resort markets during Q2. MAR's U.S. outperformance vs. global (+5% vs. +3.4%) is consistent with HST's U.S.-concentrated portfolio.</w:t>
      </w:r>
    </w:p>
    <w:p>
      <w:pPr>
        <w:pStyle w:val="ListBullet"/>
        <w:ind w:left="360" w:hanging="360"/>
      </w:pPr>
      <w:r>
        <w:rPr>
          <w:rFonts w:ascii="Calibri" w:hAnsi="Calibri"/>
          <w:color w:val="525866"/>
          <w:sz w:val="22"/>
        </w:rPr>
        <w:t xml:space="preserve">World Cup provided ~45 bps of global RevPAR benefit, described as "slightly larger than expected." MAR noted the World Cup was "much more of a transient play" with demand concentrated in the final 30-day booking window. </w:t>
      </w:r>
      <w:r>
        <w:rPr>
          <w:rFonts w:ascii="Calibri" w:hAnsi="Calibri"/>
          <w:b/>
          <w:color w:val="525866"/>
          <w:sz w:val="22"/>
        </w:rPr>
        <w:t xml:space="preserve">HST implication: </w:t>
      </w:r>
      <w:r>
        <w:rPr>
          <w:rFonts w:ascii="Calibri" w:hAnsi="Calibri"/>
          <w:color w:val="525866"/>
          <w:sz w:val="22"/>
        </w:rPr>
        <w:t>Directly validates HST management's Q1 guidance that World Cup would drive ~40 bps of full-year RevPAR benefit (60 bps gross, ~2/3 in Q2). The "larger than expected" characterization is a positive signal for HST's Q2 RevPAR beat potential.</w:t>
      </w:r>
    </w:p>
    <w:p>
      <w:pPr>
        <w:pStyle w:val="ListBullet"/>
        <w:ind w:left="360" w:hanging="360"/>
      </w:pPr>
      <w:r>
        <w:rPr>
          <w:rFonts w:ascii="Calibri" w:hAnsi="Calibri"/>
          <w:color w:val="525866"/>
          <w:sz w:val="22"/>
        </w:rPr>
        <w:t xml:space="preserve">Luxury segment showed "almost double-digit revenue growth in U.S. and Canada." Full-year group pace up ~6% in the U.S. </w:t>
      </w:r>
      <w:r>
        <w:rPr>
          <w:rFonts w:ascii="Calibri" w:hAnsi="Calibri"/>
          <w:b/>
          <w:color w:val="525866"/>
          <w:sz w:val="22"/>
        </w:rPr>
        <w:t xml:space="preserve">HST implication: </w:t>
      </w:r>
      <w:r>
        <w:rPr>
          <w:rFonts w:ascii="Calibri" w:hAnsi="Calibri"/>
          <w:color w:val="525866"/>
          <w:sz w:val="22"/>
        </w:rPr>
        <w:t>Directly relevant — HST's portfolio is concentrated in luxury and upper-upscale, and group pace strength aligns with HST's own reported 3.5M definite group room nights on the books for 2026 (up 12% since Q4).</w:t>
      </w:r>
    </w:p>
    <w:p>
      <w:pPr>
        <w:pStyle w:val="ListBullet"/>
        <w:ind w:left="360" w:hanging="360"/>
      </w:pPr>
      <w:r>
        <w:rPr>
          <w:rFonts w:ascii="Calibri" w:hAnsi="Calibri"/>
          <w:color w:val="525866"/>
          <w:sz w:val="22"/>
        </w:rPr>
        <w:t xml:space="preserve">Q3 2026 global RevPAR guided to +3.5%–4.0%; full-year raised to +3.0%–3.5%. Management noted Q4 could see a "small negative impact from November's midterm elections." </w:t>
      </w:r>
      <w:r>
        <w:rPr>
          <w:rFonts w:ascii="Calibri" w:hAnsi="Calibri"/>
          <w:b/>
          <w:color w:val="525866"/>
          <w:sz w:val="22"/>
        </w:rPr>
        <w:t xml:space="preserve">HST implication: </w:t>
      </w:r>
      <w:r>
        <w:rPr>
          <w:rFonts w:ascii="Calibri" w:hAnsi="Calibri"/>
          <w:color w:val="525866"/>
          <w:sz w:val="22"/>
        </w:rPr>
        <w:t>Positive forward read-through for HST's Q3 setup; midterm election headwind in Q4 is a risk to monitor for HST's Q4 guidance.</w:t>
      </w:r>
    </w:p>
    <w:p>
      <w:pPr>
        <w:pStyle w:val="ListBullet"/>
        <w:ind w:left="360" w:hanging="360"/>
      </w:pPr>
      <w:r>
        <w:rPr>
          <w:rFonts w:ascii="Calibri" w:hAnsi="Calibri"/>
          <w:color w:val="525866"/>
          <w:sz w:val="22"/>
        </w:rPr>
        <w:t xml:space="preserve">Middle East RevPAR declined 43% in Q2, with full-year global RevPAR impact now expected at ~100 bps. </w:t>
      </w:r>
      <w:r>
        <w:rPr>
          <w:rFonts w:ascii="Calibri" w:hAnsi="Calibri"/>
          <w:b/>
          <w:color w:val="002FA7"/>
          <w:sz w:val="22"/>
        </w:rPr>
        <w:t xml:space="preserve">HST limitation: </w:t>
      </w:r>
      <w:r>
        <w:rPr>
          <w:rFonts w:ascii="Calibri" w:hAnsi="Calibri"/>
          <w:color w:val="525866"/>
          <w:sz w:val="22"/>
        </w:rPr>
        <w:t xml:space="preserve"> HST has minimal direct Middle East exposure, so this headwind is largely irrelevant to HST's portfolio but explains why MAR's global RevPAR growth (+3.4%) understates U.S. performance (+5%).</w:t>
      </w:r>
    </w:p>
    <w:p>
      <w:pPr>
        <w:pStyle w:val="Heading2"/>
      </w:pPr>
      <w:r>
        <w:rPr>
          <w:rFonts w:ascii="Calibri" w:hAnsi="Calibri"/>
          <w:b/>
          <w:color w:val="3B4259"/>
          <w:sz w:val="28"/>
        </w:rPr>
        <w:t>8.2 Hilton Worldwide Holdings (HLT) — Q2 2026 Earnings Release, July 28, 2026</w:t>
      </w:r>
    </w:p>
    <w:p>
      <w:r>
        <w:rPr>
          <w:rFonts w:ascii="Calibri" w:hAnsi="Calibri"/>
          <w:b/>
          <w:color w:val="30A46C"/>
          <w:sz w:val="22"/>
        </w:rPr>
        <w:t xml:space="preserve">Relevance to HST Q2 2026: </w:t>
      </w:r>
      <w:r>
        <w:rPr>
          <w:rFonts w:ascii="Calibri" w:hAnsi="Calibri"/>
          <w:b/>
          <w:color w:val="525866"/>
          <w:sz w:val="22"/>
        </w:rPr>
        <w:t xml:space="preserve"> Direct Read-Through</w:t>
      </w:r>
    </w:p>
    <w:p>
      <w:pPr>
        <w:pStyle w:val="ListBullet"/>
        <w:ind w:left="360" w:hanging="360"/>
      </w:pPr>
      <w:r>
        <w:rPr>
          <w:rFonts w:ascii="Calibri" w:hAnsi="Calibri"/>
          <w:color w:val="525866"/>
          <w:sz w:val="22"/>
        </w:rPr>
        <w:t xml:space="preserve">System-wide RevPAR grew +3.9% (currency-neutral) in Q2, with U.S. RevPAR up +5.4% (occupancy +1.6 pp, ADR +3.2%). CEO stated: "We delivered strong top and bottom-line results driven by the continuation of strengthening demand trends and broad-based momentum across our system, which we expect to continue for the remainder of the year and into 2027." </w:t>
      </w:r>
      <w:r>
        <w:rPr>
          <w:rFonts w:ascii="Calibri" w:hAnsi="Calibri"/>
          <w:b/>
          <w:color w:val="525866"/>
          <w:sz w:val="22"/>
        </w:rPr>
        <w:t xml:space="preserve">HST implication: </w:t>
      </w:r>
      <w:r>
        <w:rPr>
          <w:rFonts w:ascii="Calibri" w:hAnsi="Calibri"/>
          <w:color w:val="525866"/>
          <w:sz w:val="22"/>
        </w:rPr>
        <w:t>Strong positive read-through for HST's Q2 RevPAR. HLT's U.S. outperformance mirrors the dynamic HST guided to, with both occupancy and ADR contributing.</w:t>
      </w:r>
    </w:p>
    <w:p>
      <w:pPr>
        <w:pStyle w:val="ListBullet"/>
        <w:ind w:left="360" w:hanging="360"/>
      </w:pPr>
      <w:r>
        <w:rPr>
          <w:rFonts w:ascii="Calibri" w:hAnsi="Calibri"/>
          <w:color w:val="525866"/>
          <w:sz w:val="22"/>
        </w:rPr>
        <w:t xml:space="preserve">Q3 2026 system-wide RevPAR guided to +~4.0%, citing "expected third quarter benefits from the World Cup and favorable calendar shifts." Q4 expected to be affected by "unfavorable calendar shifts and midterm elections." </w:t>
      </w:r>
      <w:r>
        <w:rPr>
          <w:rFonts w:ascii="Calibri" w:hAnsi="Calibri"/>
          <w:b/>
          <w:color w:val="525866"/>
          <w:sz w:val="22"/>
        </w:rPr>
        <w:t xml:space="preserve">HST implication: </w:t>
      </w:r>
      <w:r>
        <w:rPr>
          <w:rFonts w:ascii="Calibri" w:hAnsi="Calibri"/>
          <w:color w:val="525866"/>
          <w:sz w:val="22"/>
        </w:rPr>
        <w:t>Directly relevant to HST's Q3 setup — HLT's Q3 guide of +4% is consistent with HST's own H2 guidance of "low single-digit" RevPAR growth, suggesting the bar for Q3 is achievable.</w:t>
      </w:r>
    </w:p>
    <w:p>
      <w:pPr>
        <w:pStyle w:val="ListBullet"/>
        <w:ind w:left="360" w:hanging="360"/>
      </w:pPr>
      <w:r>
        <w:rPr>
          <w:rFonts w:ascii="Calibri" w:hAnsi="Calibri"/>
          <w:color w:val="525866"/>
          <w:sz w:val="22"/>
        </w:rPr>
        <w:t xml:space="preserve">Full-year RevPAR guidance raised to +3.0%–3.5% (from +2.0%–3.0%). Adjusted EBITDA guided to $4.04B–$4.08B. </w:t>
      </w:r>
      <w:r>
        <w:rPr>
          <w:rFonts w:ascii="Calibri" w:hAnsi="Calibri"/>
          <w:b/>
          <w:color w:val="525866"/>
          <w:sz w:val="22"/>
        </w:rPr>
        <w:t xml:space="preserve">HST implication: </w:t>
      </w:r>
      <w:r>
        <w:rPr>
          <w:rFonts w:ascii="Calibri" w:hAnsi="Calibri"/>
          <w:color w:val="525866"/>
          <w:sz w:val="22"/>
        </w:rPr>
        <w:t>Consistent with the industry-wide guidance raise trend; supports HST raising its own full-year guidance again at Q2.</w:t>
      </w:r>
    </w:p>
    <w:p>
      <w:pPr>
        <w:pStyle w:val="ListBullet"/>
        <w:ind w:left="360" w:hanging="360"/>
      </w:pPr>
      <w:r>
        <w:rPr>
          <w:rFonts w:ascii="Calibri" w:hAnsi="Calibri"/>
          <w:color w:val="525866"/>
          <w:sz w:val="22"/>
        </w:rPr>
        <w:t xml:space="preserve">HLT's Ownership segment RevPAR declined -3.4% in Q2 (ADR down -4.8%), despite occupancy up +1.2 pp. </w:t>
      </w:r>
      <w:r>
        <w:rPr>
          <w:rFonts w:ascii="Calibri" w:hAnsi="Calibri"/>
          <w:b/>
          <w:color w:val="002FA7"/>
          <w:sz w:val="22"/>
        </w:rPr>
        <w:t xml:space="preserve">HST limitation: </w:t>
      </w:r>
      <w:r>
        <w:rPr>
          <w:rFonts w:ascii="Calibri" w:hAnsi="Calibri"/>
          <w:color w:val="525866"/>
          <w:sz w:val="22"/>
        </w:rPr>
        <w:t xml:space="preserve"> HLT's owned portfolio is small and concentrated in different markets than HST; this metric is not directly comparable to HST's owned portfolio performance.</w:t>
      </w:r>
    </w:p>
    <w:p>
      <w:pPr>
        <w:pStyle w:val="Heading2"/>
      </w:pPr>
      <w:r>
        <w:rPr>
          <w:rFonts w:ascii="Calibri" w:hAnsi="Calibri"/>
          <w:b/>
          <w:color w:val="3B4259"/>
          <w:sz w:val="28"/>
        </w:rPr>
        <w:t>8.3 Hyatt Hotels Corporation (H) — Q2 2026 Earnings Release, July 29–30, 2026</w:t>
      </w:r>
    </w:p>
    <w:p>
      <w:r>
        <w:rPr>
          <w:rFonts w:ascii="Calibri" w:hAnsi="Calibri"/>
          <w:b/>
          <w:color w:val="30A46C"/>
          <w:sz w:val="22"/>
        </w:rPr>
        <w:t xml:space="preserve">Relevance to HST Q2 2026: </w:t>
      </w:r>
      <w:r>
        <w:rPr>
          <w:rFonts w:ascii="Calibri" w:hAnsi="Calibri"/>
          <w:b/>
          <w:color w:val="525866"/>
          <w:sz w:val="22"/>
        </w:rPr>
        <w:t xml:space="preserve"> Direct Read-Through (Luxury/Upper-Upscale Focus)</w:t>
      </w:r>
    </w:p>
    <w:p>
      <w:pPr>
        <w:pStyle w:val="ListBullet"/>
        <w:ind w:left="360" w:hanging="360"/>
      </w:pPr>
      <w:r>
        <w:rPr>
          <w:rFonts w:ascii="Calibri" w:hAnsi="Calibri"/>
          <w:color w:val="525866"/>
          <w:sz w:val="22"/>
        </w:rPr>
        <w:t xml:space="preserve">System-wide RevPAR grew +5.9% in Q2, with U.S. RevPAR up +6.7% (occupancy +0.6 pp, ADR +5.7%). "Luxury and Upper Upscale chain scales drove RevPAR growth in the quarter." Leisure transient and group RevPAR both delivered "strong growth." </w:t>
      </w:r>
      <w:r>
        <w:rPr>
          <w:rFonts w:ascii="Calibri" w:hAnsi="Calibri"/>
          <w:b/>
          <w:color w:val="525866"/>
          <w:sz w:val="22"/>
        </w:rPr>
        <w:t xml:space="preserve">HST implication: </w:t>
      </w:r>
      <w:r>
        <w:rPr>
          <w:rFonts w:ascii="Calibri" w:hAnsi="Calibri"/>
          <w:color w:val="525866"/>
          <w:sz w:val="22"/>
        </w:rPr>
        <w:t>Highly relevant — Hyatt's luxury/upper-upscale outperformance directly maps to HST's portfolio positioning. The +6.7% U.S. RevPAR growth is the strongest read-through of any peer and suggests HST's Q2 RevPAR could exceed the ~4.4% guide.</w:t>
      </w:r>
    </w:p>
    <w:p>
      <w:pPr>
        <w:pStyle w:val="ListBullet"/>
        <w:ind w:left="360" w:hanging="360"/>
      </w:pPr>
      <w:r>
        <w:rPr>
          <w:rFonts w:ascii="Calibri" w:hAnsi="Calibri"/>
          <w:color w:val="525866"/>
          <w:sz w:val="22"/>
        </w:rPr>
        <w:t xml:space="preserve">Full-year system-wide RevPAR guidance raised to +3.5%–4.5% (from prior), with U.S. RevPAR expected to grow +3%–4% for the full year. "The increase reflects the strong second quarter performance in the United States, including the FIFA World Cup." </w:t>
      </w:r>
      <w:r>
        <w:rPr>
          <w:rFonts w:ascii="Calibri" w:hAnsi="Calibri"/>
          <w:b/>
          <w:color w:val="525866"/>
          <w:sz w:val="22"/>
        </w:rPr>
        <w:t xml:space="preserve">HST implication: </w:t>
      </w:r>
      <w:r>
        <w:rPr>
          <w:rFonts w:ascii="Calibri" w:hAnsi="Calibri"/>
          <w:color w:val="525866"/>
          <w:sz w:val="22"/>
        </w:rPr>
        <w:t>Directly supports HST's full-year RevPAR guidance of +3.0%–4.5% being achievable; Hyatt's raised guide is at the high end of HST's range.</w:t>
      </w:r>
    </w:p>
    <w:p>
      <w:pPr>
        <w:pStyle w:val="ListBullet"/>
        <w:ind w:left="360" w:hanging="360"/>
      </w:pPr>
      <w:r>
        <w:rPr>
          <w:rFonts w:ascii="Calibri" w:hAnsi="Calibri"/>
          <w:color w:val="525866"/>
          <w:sz w:val="22"/>
        </w:rPr>
        <w:t xml:space="preserve">Americas (ex-U.S.) RevPAR grew +9.5% in Q2, with Greater China up +7.2% and Asia Pacific (ex-China) up +10.3%. </w:t>
      </w:r>
      <w:r>
        <w:rPr>
          <w:rFonts w:ascii="Calibri" w:hAnsi="Calibri"/>
          <w:b/>
          <w:color w:val="002FA7"/>
          <w:sz w:val="22"/>
        </w:rPr>
        <w:t xml:space="preserve">HST limitation: </w:t>
      </w:r>
      <w:r>
        <w:rPr>
          <w:rFonts w:ascii="Calibri" w:hAnsi="Calibri"/>
          <w:color w:val="525866"/>
          <w:sz w:val="22"/>
        </w:rPr>
        <w:t xml:space="preserve"> HST's portfolio is almost entirely U.S.-based; international performance is not directly applicable.</w:t>
      </w:r>
    </w:p>
    <w:p>
      <w:pPr>
        <w:pStyle w:val="ListBullet"/>
        <w:ind w:left="360" w:hanging="360"/>
      </w:pPr>
      <w:r>
        <w:rPr>
          <w:rFonts w:ascii="Calibri" w:hAnsi="Calibri"/>
          <w:color w:val="525866"/>
          <w:sz w:val="22"/>
        </w:rPr>
        <w:t xml:space="preserve">Middle East RevPAR declined -28.3%, negatively impacting system-wide growth by ~110 bps. Mexico all-inclusive demand softer than expected. </w:t>
      </w:r>
      <w:r>
        <w:rPr>
          <w:rFonts w:ascii="Calibri" w:hAnsi="Calibri"/>
          <w:b/>
          <w:color w:val="002FA7"/>
          <w:sz w:val="22"/>
        </w:rPr>
        <w:t xml:space="preserve">HST limitation: </w:t>
      </w:r>
      <w:r>
        <w:rPr>
          <w:rFonts w:ascii="Calibri" w:hAnsi="Calibri"/>
          <w:color w:val="525866"/>
          <w:sz w:val="22"/>
        </w:rPr>
        <w:t xml:space="preserve"> HST has no material Middle East or Mexico all-inclusive exposure; these headwinds are not relevant to HST's portfolio.</w:t>
      </w:r>
    </w:p>
    <w:p>
      <w:pPr>
        <w:pStyle w:val="Heading2"/>
      </w:pPr>
      <w:r>
        <w:rPr>
          <w:rFonts w:ascii="Calibri" w:hAnsi="Calibri"/>
          <w:b/>
          <w:color w:val="3B4259"/>
          <w:sz w:val="28"/>
        </w:rPr>
        <w:t>8.4 Pebblebrook Hotel Trust (PEB) — Q2 2026 Earnings Call, July 30, 2026</w:t>
      </w:r>
    </w:p>
    <w:p>
      <w:r>
        <w:rPr>
          <w:rFonts w:ascii="Calibri" w:hAnsi="Calibri"/>
          <w:b/>
          <w:color w:val="30A46C"/>
          <w:sz w:val="22"/>
        </w:rPr>
        <w:t xml:space="preserve">Relevance to HST Q2 2026: </w:t>
      </w:r>
      <w:r>
        <w:rPr>
          <w:rFonts w:ascii="Calibri" w:hAnsi="Calibri"/>
          <w:b/>
          <w:color w:val="525866"/>
          <w:sz w:val="22"/>
        </w:rPr>
        <w:t xml:space="preserve"> Direct Read-Through (U.S. Luxury/Lifestyle Hotels, Similar Portfolio)</w:t>
      </w:r>
    </w:p>
    <w:p>
      <w:pPr>
        <w:pStyle w:val="ListBullet"/>
        <w:ind w:left="360" w:hanging="360"/>
      </w:pPr>
      <w:r>
        <w:rPr>
          <w:rFonts w:ascii="Calibri" w:hAnsi="Calibri"/>
          <w:color w:val="525866"/>
          <w:sz w:val="22"/>
        </w:rPr>
        <w:t xml:space="preserve">Q3 2026 is "off to a great start with July proving to be stronger than we expected." July RevPAR tracking +7%–8% year-over-year through July 25. "Short-term pickup has surprised to the upside, indicating that summer vacation travel is starting strong." </w:t>
      </w:r>
      <w:r>
        <w:rPr>
          <w:rFonts w:ascii="Calibri" w:hAnsi="Calibri"/>
          <w:b/>
          <w:color w:val="525866"/>
          <w:sz w:val="22"/>
        </w:rPr>
        <w:t xml:space="preserve">HST implication: </w:t>
      </w:r>
      <w:r>
        <w:rPr>
          <w:rFonts w:ascii="Calibri" w:hAnsi="Calibri"/>
          <w:color w:val="525866"/>
          <w:sz w:val="22"/>
        </w:rPr>
        <w:t>Highly relevant forward read-through for HST's Q3 setup. PEB's July strength suggests the positive demand momentum from Q2 is carrying into Q3, which is important for HST's H2 guidance.</w:t>
      </w:r>
    </w:p>
    <w:p>
      <w:pPr>
        <w:pStyle w:val="ListBullet"/>
        <w:ind w:left="360" w:hanging="360"/>
      </w:pPr>
      <w:r>
        <w:rPr>
          <w:rFonts w:ascii="Calibri" w:hAnsi="Calibri"/>
          <w:color w:val="525866"/>
          <w:sz w:val="22"/>
        </w:rPr>
        <w:t xml:space="preserve">"Corporate travel growth remains strong and leisure travel is accelerating, allowing us to average higher prices through less discounting, fewer promotions and reduced use of lower-priced wholesale channels." All major demand segments (group, corporate transient, leisure) grew weekdays and weekends alike. </w:t>
      </w:r>
      <w:r>
        <w:rPr>
          <w:rFonts w:ascii="Calibri" w:hAnsi="Calibri"/>
          <w:b/>
          <w:color w:val="525866"/>
          <w:sz w:val="22"/>
        </w:rPr>
        <w:t xml:space="preserve">HST implication: </w:t>
      </w:r>
      <w:r>
        <w:rPr>
          <w:rFonts w:ascii="Calibri" w:hAnsi="Calibri"/>
          <w:color w:val="525866"/>
          <w:sz w:val="22"/>
        </w:rPr>
        <w:t>Directly relevant — PEB's ability to reduce discounting and shift to higher-rated channels mirrors HST's own margin expansion strategy. Broad-based demand across segments reduces concentration risk.</w:t>
      </w:r>
    </w:p>
    <w:p>
      <w:pPr>
        <w:pStyle w:val="ListBullet"/>
        <w:ind w:left="360" w:hanging="360"/>
      </w:pPr>
      <w:r>
        <w:rPr>
          <w:rFonts w:ascii="Calibri" w:hAnsi="Calibri"/>
          <w:color w:val="525866"/>
          <w:sz w:val="22"/>
        </w:rPr>
        <w:t xml:space="preserve">"World Cup provided a beneficial tailwind in several markets, but our performance reflected much more than a single event." Broad-based strength in group and transient demand. Full-year RevPAR guidance raised by 75 bps at the midpoint to +2.5%–4.0%. </w:t>
      </w:r>
      <w:r>
        <w:rPr>
          <w:rFonts w:ascii="Calibri" w:hAnsi="Calibri"/>
          <w:b/>
          <w:color w:val="525866"/>
          <w:sz w:val="22"/>
        </w:rPr>
        <w:t xml:space="preserve">HST implication: </w:t>
      </w:r>
      <w:r>
        <w:rPr>
          <w:rFonts w:ascii="Calibri" w:hAnsi="Calibri"/>
          <w:color w:val="525866"/>
          <w:sz w:val="22"/>
        </w:rPr>
        <w:t>Confirms World Cup was a real tailwind (not just noise) and that underlying demand is strong enough to sustain performance beyond the event — positive for HST's H2 outlook.</w:t>
      </w:r>
    </w:p>
    <w:p>
      <w:pPr>
        <w:pStyle w:val="ListBullet"/>
        <w:ind w:left="360" w:hanging="360"/>
      </w:pPr>
      <w:r>
        <w:rPr>
          <w:rFonts w:ascii="Calibri" w:hAnsi="Calibri"/>
          <w:color w:val="525866"/>
          <w:sz w:val="22"/>
        </w:rPr>
        <w:t xml:space="preserve">San Francisco expected to see "strong RevPAR growth" in 2027 as citywides return and corporate transient grows significantly. Los Angeles has "momentum building" with 2027 Super Bowl and 2028 Olympics as catalysts. </w:t>
      </w:r>
      <w:r>
        <w:rPr>
          <w:rFonts w:ascii="Calibri" w:hAnsi="Calibri"/>
          <w:b/>
          <w:color w:val="525866"/>
          <w:sz w:val="22"/>
        </w:rPr>
        <w:t xml:space="preserve">HST implication: </w:t>
      </w:r>
      <w:r>
        <w:rPr>
          <w:rFonts w:ascii="Calibri" w:hAnsi="Calibri"/>
          <w:color w:val="525866"/>
          <w:sz w:val="22"/>
        </w:rPr>
        <w:t>Directly relevant — HST has significant exposure to San Francisco (AI-related demand cited as a key driver on Q1 call) and Los Angeles. PEB's bullish 2027 outlook for these markets supports HST's longer-term thesis.</w:t>
      </w:r>
    </w:p>
    <w:p>
      <w:pPr>
        <w:pStyle w:val="ListBullet"/>
        <w:ind w:left="360" w:hanging="360"/>
      </w:pPr>
      <w:r>
        <w:rPr>
          <w:rFonts w:ascii="Calibri" w:hAnsi="Calibri"/>
          <w:color w:val="525866"/>
          <w:sz w:val="22"/>
        </w:rPr>
        <w:t xml:space="preserve">Property insurance renewal completed at premiums ~27% below last year ($6M lower). Per occupied room costs growing at just 2%, below inflation. </w:t>
      </w:r>
      <w:r>
        <w:rPr>
          <w:rFonts w:ascii="Calibri" w:hAnsi="Calibri"/>
          <w:b/>
          <w:color w:val="525866"/>
          <w:sz w:val="22"/>
        </w:rPr>
        <w:t xml:space="preserve">HST implication: </w:t>
      </w:r>
      <w:r>
        <w:rPr>
          <w:rFonts w:ascii="Calibri" w:hAnsi="Calibri"/>
          <w:color w:val="525866"/>
          <w:sz w:val="22"/>
        </w:rPr>
        <w:t>Positive read-through for HST's margin outlook — if PEB is seeing insurance cost relief, HST may benefit similarly. Cost discipline at 2% per occupied room growth is consistent with HST's own productivity-driven margin expansion.</w:t>
      </w:r>
    </w:p>
    <w:p>
      <w:pPr>
        <w:pStyle w:val="ListBullet"/>
        <w:ind w:left="360" w:hanging="360"/>
      </w:pPr>
      <w:r>
        <w:rPr>
          <w:rFonts w:ascii="Calibri" w:hAnsi="Calibri"/>
          <w:color w:val="525866"/>
          <w:sz w:val="22"/>
        </w:rPr>
        <w:t xml:space="preserve">Q3 2026 same-property RevPAR guidance of +1%–3%, with management noting they are "not prepared to extrapolate July's unusually strong short-term pickup across the entire quarter." Booking windows "remain short." </w:t>
      </w:r>
      <w:r>
        <w:rPr>
          <w:rFonts w:ascii="Calibri" w:hAnsi="Calibri"/>
          <w:b/>
          <w:color w:val="002FA7"/>
          <w:sz w:val="22"/>
        </w:rPr>
        <w:t xml:space="preserve">HST limitation / caution: </w:t>
      </w:r>
      <w:r>
        <w:rPr>
          <w:rFonts w:ascii="Calibri" w:hAnsi="Calibri"/>
          <w:color w:val="525866"/>
          <w:sz w:val="22"/>
        </w:rPr>
        <w:t xml:space="preserve"> PEB's conservative Q3 guide despite strong July is a reminder that short booking windows create uncertainty. HST faces the same dynamic, and the World Cup's last-minute booking pattern means Q2 RevPAR could be lumpy.</w:t>
      </w:r>
    </w:p>
    <w:p>
      <w:pPr>
        <w:pStyle w:val="Heading2"/>
      </w:pPr>
      <w:r>
        <w:rPr>
          <w:rFonts w:ascii="Calibri" w:hAnsi="Calibri"/>
          <w:b/>
          <w:color w:val="3B4259"/>
          <w:sz w:val="28"/>
        </w:rPr>
        <w:t>8.5 DiamondRock Hospitality (DRH) — Q2 2026 Earnings Release, July 29–30, 2026</w:t>
      </w:r>
    </w:p>
    <w:p>
      <w:r>
        <w:rPr>
          <w:rFonts w:ascii="Calibri" w:hAnsi="Calibri"/>
          <w:b/>
          <w:color w:val="30A46C"/>
          <w:sz w:val="22"/>
        </w:rPr>
        <w:t xml:space="preserve">Relevance to HST Q2 2026: </w:t>
      </w:r>
      <w:r>
        <w:rPr>
          <w:rFonts w:ascii="Calibri" w:hAnsi="Calibri"/>
          <w:b/>
          <w:color w:val="525866"/>
          <w:sz w:val="22"/>
        </w:rPr>
        <w:t xml:space="preserve"> Direct Read-Through (U.S. Upper-Upscale Hotels)</w:t>
      </w:r>
    </w:p>
    <w:p>
      <w:pPr>
        <w:pStyle w:val="ListBullet"/>
        <w:ind w:left="360" w:hanging="360"/>
      </w:pPr>
      <w:r>
        <w:rPr>
          <w:rFonts w:ascii="Calibri" w:hAnsi="Calibri"/>
          <w:color w:val="525866"/>
          <w:sz w:val="22"/>
        </w:rPr>
        <w:t xml:space="preserve">Q2 RevPAR grew +7%, with hotel expense growth held to just 1.8%, "driving exceptional margin expansion and earnings growth." Full-year RevPAR guidance raised by 75 bps at the midpoint to +2.5%–4.0%. </w:t>
      </w:r>
      <w:r>
        <w:rPr>
          <w:rFonts w:ascii="Calibri" w:hAnsi="Calibri"/>
          <w:b/>
          <w:color w:val="525866"/>
          <w:sz w:val="22"/>
        </w:rPr>
        <w:t xml:space="preserve">HST implication: </w:t>
      </w:r>
      <w:r>
        <w:rPr>
          <w:rFonts w:ascii="Calibri" w:hAnsi="Calibri"/>
          <w:color w:val="525866"/>
          <w:sz w:val="22"/>
        </w:rPr>
        <w:t>Strong positive read-through for HST's Q2 margin execution. DRH's ability to hold expense growth to 1.8% while delivering 7% RevPAR growth is consistent with HST's own productivity-driven margin expansion narrative.</w:t>
      </w:r>
    </w:p>
    <w:p>
      <w:pPr>
        <w:pStyle w:val="ListBullet"/>
        <w:ind w:left="360" w:hanging="360"/>
      </w:pPr>
      <w:r>
        <w:rPr>
          <w:rFonts w:ascii="Calibri" w:hAnsi="Calibri"/>
          <w:color w:val="525866"/>
          <w:sz w:val="22"/>
        </w:rPr>
        <w:t xml:space="preserve">"Improved booking pace for the remainder of the year" cited as a key driver of the guidance raise. Q3 2026 dividend raised 22%, signaling management confidence in H2 performance. </w:t>
      </w:r>
      <w:r>
        <w:rPr>
          <w:rFonts w:ascii="Calibri" w:hAnsi="Calibri"/>
          <w:b/>
          <w:color w:val="525866"/>
          <w:sz w:val="22"/>
        </w:rPr>
        <w:t xml:space="preserve">HST implication: </w:t>
      </w:r>
      <w:r>
        <w:rPr>
          <w:rFonts w:ascii="Calibri" w:hAnsi="Calibri"/>
          <w:color w:val="525866"/>
          <w:sz w:val="22"/>
        </w:rPr>
        <w:t>Positive forward read-through — improved booking pace for H2 is consistent with HST's own group pace commentary (definite group room nights up 12% since Q4 2025).</w:t>
      </w:r>
    </w:p>
    <w:p>
      <w:pPr>
        <w:pStyle w:val="ListBullet"/>
        <w:ind w:left="360" w:hanging="360"/>
      </w:pPr>
      <w:r>
        <w:rPr>
          <w:rFonts w:ascii="Calibri" w:hAnsi="Calibri"/>
          <w:color w:val="525866"/>
          <w:sz w:val="22"/>
        </w:rPr>
        <w:t xml:space="preserve">Chicago property tax appeal benefit contributing to full-year guidance raise. </w:t>
      </w:r>
      <w:r>
        <w:rPr>
          <w:rFonts w:ascii="Calibri" w:hAnsi="Calibri"/>
          <w:b/>
          <w:color w:val="002FA7"/>
          <w:sz w:val="22"/>
        </w:rPr>
        <w:t xml:space="preserve">HST limitation: </w:t>
      </w:r>
      <w:r>
        <w:rPr>
          <w:rFonts w:ascii="Calibri" w:hAnsi="Calibri"/>
          <w:color w:val="525866"/>
          <w:sz w:val="22"/>
        </w:rPr>
        <w:t xml:space="preserve"> This is a DRH-specific item not applicable to HST.</w:t>
      </w:r>
    </w:p>
    <w:p>
      <w:pPr>
        <w:pStyle w:val="Heading2"/>
      </w:pPr>
      <w:r>
        <w:rPr>
          <w:rFonts w:ascii="Calibri" w:hAnsi="Calibri"/>
          <w:b/>
          <w:color w:val="3B4259"/>
          <w:sz w:val="28"/>
        </w:rPr>
        <w:t>8.6 Booking Holdings (BKNG) — Q2 2026 Earnings, August 4, 2026</w:t>
      </w:r>
    </w:p>
    <w:p>
      <w:r>
        <w:rPr>
          <w:rFonts w:ascii="Calibri" w:hAnsi="Calibri"/>
          <w:b/>
          <w:color w:val="002FA7"/>
          <w:sz w:val="22"/>
        </w:rPr>
        <w:t xml:space="preserve">Relevance to HST Q2 2026: </w:t>
      </w:r>
      <w:r>
        <w:rPr>
          <w:rFonts w:ascii="Calibri" w:hAnsi="Calibri"/>
          <w:b/>
          <w:color w:val="525866"/>
          <w:sz w:val="22"/>
        </w:rPr>
        <w:t xml:space="preserve"> Partial Read-Through (Macro Travel Demand)</w:t>
      </w:r>
    </w:p>
    <w:p>
      <w:pPr>
        <w:pStyle w:val="ListBullet"/>
        <w:ind w:left="360" w:hanging="360"/>
      </w:pPr>
      <w:r>
        <w:rPr>
          <w:rFonts w:ascii="Calibri" w:hAnsi="Calibri"/>
          <w:color w:val="525866"/>
          <w:sz w:val="22"/>
        </w:rPr>
        <w:t xml:space="preserve">Q2 gross bookings of $51B beat Street estimate of $49.7B. Management indicated "demand remains resilient so far in Q3." Q3 guidance: constant FX revenue growth of +5%–7%, gross bookings growth of +4%–6%. </w:t>
      </w:r>
      <w:r>
        <w:rPr>
          <w:rFonts w:ascii="Calibri" w:hAnsi="Calibri"/>
          <w:b/>
          <w:color w:val="525866"/>
          <w:sz w:val="22"/>
        </w:rPr>
        <w:t xml:space="preserve">HST implication: </w:t>
      </w:r>
      <w:r>
        <w:rPr>
          <w:rFonts w:ascii="Calibri" w:hAnsi="Calibri"/>
          <w:color w:val="525866"/>
          <w:sz w:val="22"/>
        </w:rPr>
        <w:t>Confirms underlying travel demand remains healthy globally and into Q3. BKNG's resilience despite geopolitical uncertainty is a positive macro read-through for HST's transient demand.</w:t>
      </w:r>
    </w:p>
    <w:p>
      <w:pPr>
        <w:pStyle w:val="ListBullet"/>
        <w:ind w:left="360" w:hanging="360"/>
      </w:pPr>
      <w:r>
        <w:rPr>
          <w:rFonts w:ascii="Calibri" w:hAnsi="Calibri"/>
          <w:color w:val="525866"/>
          <w:sz w:val="22"/>
        </w:rPr>
        <w:t xml:space="preserve">BKNG's business is predominantly international OTA bookings; its mix differs significantly from HST's U.S. luxury hotel focus. </w:t>
      </w:r>
      <w:r>
        <w:rPr>
          <w:rFonts w:ascii="Calibri" w:hAnsi="Calibri"/>
          <w:b/>
          <w:color w:val="002FA7"/>
          <w:sz w:val="22"/>
        </w:rPr>
        <w:t xml:space="preserve">HST limitation: </w:t>
      </w:r>
      <w:r>
        <w:rPr>
          <w:rFonts w:ascii="Calibri" w:hAnsi="Calibri"/>
          <w:color w:val="525866"/>
          <w:sz w:val="22"/>
        </w:rPr>
        <w:t xml:space="preserve"> BKNG's results are a macro indicator rather than a direct portfolio read-through. HST's luxury properties rely more on direct bookings and brand channels than OTA platforms.</w:t>
      </w:r>
    </w:p>
    <w:p>
      <w:pPr>
        <w:pStyle w:val="Heading2"/>
      </w:pPr>
      <w:r>
        <w:rPr>
          <w:rFonts w:ascii="Calibri" w:hAnsi="Calibri"/>
          <w:b/>
          <w:color w:val="3B4259"/>
          <w:sz w:val="28"/>
        </w:rPr>
        <w:t>8.7 Summary Read-Through Scorecard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Signal for HST Q2</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Read-Through Strength</w:t>
            </w:r>
          </w:p>
        </w:tc>
      </w:tr>
      <w:tr>
        <w:tc>
          <w:tcPr>
            <w:tcW w:type="dxa" w:w="1728"/>
          </w:tcPr>
          <w:p>
            <w:r>
              <w:rPr>
                <w:rFonts w:ascii="Calibri" w:hAnsi="Calibri"/>
                <w:sz w:val="22"/>
              </w:rPr>
              <w:t>MAR</w:t>
            </w:r>
          </w:p>
        </w:tc>
        <w:tc>
          <w:tcPr>
            <w:tcW w:type="dxa" w:w="1728"/>
          </w:tcPr>
          <w:p>
            <w:r>
              <w:rPr>
                <w:rFonts w:ascii="Calibri" w:hAnsi="Calibri"/>
                <w:sz w:val="22"/>
              </w:rPr>
              <w:t>Aug 3, 2026</w:t>
            </w:r>
          </w:p>
        </w:tc>
        <w:tc>
          <w:tcPr>
            <w:tcW w:type="dxa" w:w="1728"/>
          </w:tcPr>
          <w:p>
            <w:r>
              <w:rPr>
                <w:rFonts w:ascii="Calibri" w:hAnsi="Calibri"/>
                <w:sz w:val="22"/>
              </w:rPr>
              <w:t>U.S. RevPAR +5%; World Cup 45 bps tailwind; luxury demand strong; FY guidance raised</w:t>
            </w:r>
          </w:p>
        </w:tc>
        <w:tc>
          <w:tcPr>
            <w:tcW w:type="dxa" w:w="1728"/>
          </w:tcPr>
          <w:p>
            <w:r>
              <w:rPr>
                <w:rFonts w:ascii="Calibri" w:hAnsi="Calibri"/>
                <w:b/>
                <w:color w:val="30A46C"/>
                <w:sz w:val="22"/>
              </w:rPr>
              <w:t>↑ Positive</w:t>
            </w:r>
          </w:p>
        </w:tc>
        <w:tc>
          <w:tcPr>
            <w:tcW w:type="dxa" w:w="1728"/>
          </w:tcPr>
          <w:p>
            <w:r>
              <w:rPr>
                <w:rFonts w:ascii="Calibri" w:hAnsi="Calibri"/>
                <w:sz w:val="22"/>
              </w:rPr>
              <w:t>High — Direct</w:t>
            </w:r>
          </w:p>
        </w:tc>
      </w:tr>
      <w:tr>
        <w:tc>
          <w:tcPr>
            <w:tcW w:type="dxa" w:w="1728"/>
          </w:tcPr>
          <w:p>
            <w:r>
              <w:rPr>
                <w:rFonts w:ascii="Calibri" w:hAnsi="Calibri"/>
                <w:sz w:val="22"/>
              </w:rPr>
              <w:t>HLT</w:t>
            </w:r>
          </w:p>
        </w:tc>
        <w:tc>
          <w:tcPr>
            <w:tcW w:type="dxa" w:w="1728"/>
          </w:tcPr>
          <w:p>
            <w:r>
              <w:rPr>
                <w:rFonts w:ascii="Calibri" w:hAnsi="Calibri"/>
                <w:sz w:val="22"/>
              </w:rPr>
              <w:t>Jul 28, 2026</w:t>
            </w:r>
          </w:p>
        </w:tc>
        <w:tc>
          <w:tcPr>
            <w:tcW w:type="dxa" w:w="1728"/>
          </w:tcPr>
          <w:p>
            <w:r>
              <w:rPr>
                <w:rFonts w:ascii="Calibri" w:hAnsi="Calibri"/>
                <w:sz w:val="22"/>
              </w:rPr>
              <w:t>U.S. RevPAR +5.4%; FY guidance raised to +3.0–3.5%; Q3 guided +4.0%</w:t>
            </w:r>
          </w:p>
        </w:tc>
        <w:tc>
          <w:tcPr>
            <w:tcW w:type="dxa" w:w="1728"/>
          </w:tcPr>
          <w:p>
            <w:r>
              <w:rPr>
                <w:rFonts w:ascii="Calibri" w:hAnsi="Calibri"/>
                <w:b/>
                <w:color w:val="30A46C"/>
                <w:sz w:val="22"/>
              </w:rPr>
              <w:t>↑ Positive</w:t>
            </w:r>
          </w:p>
        </w:tc>
        <w:tc>
          <w:tcPr>
            <w:tcW w:type="dxa" w:w="1728"/>
          </w:tcPr>
          <w:p>
            <w:r>
              <w:rPr>
                <w:rFonts w:ascii="Calibri" w:hAnsi="Calibri"/>
                <w:sz w:val="22"/>
              </w:rPr>
              <w:t>High — Direct</w:t>
            </w:r>
          </w:p>
        </w:tc>
      </w:tr>
      <w:tr>
        <w:tc>
          <w:tcPr>
            <w:tcW w:type="dxa" w:w="1728"/>
          </w:tcPr>
          <w:p>
            <w:r>
              <w:rPr>
                <w:rFonts w:ascii="Calibri" w:hAnsi="Calibri"/>
                <w:sz w:val="22"/>
              </w:rPr>
              <w:t>H (Hyatt)</w:t>
            </w:r>
          </w:p>
        </w:tc>
        <w:tc>
          <w:tcPr>
            <w:tcW w:type="dxa" w:w="1728"/>
          </w:tcPr>
          <w:p>
            <w:r>
              <w:rPr>
                <w:rFonts w:ascii="Calibri" w:hAnsi="Calibri"/>
                <w:sz w:val="22"/>
              </w:rPr>
              <w:t>Jul 29–30, 2026</w:t>
            </w:r>
          </w:p>
        </w:tc>
        <w:tc>
          <w:tcPr>
            <w:tcW w:type="dxa" w:w="1728"/>
          </w:tcPr>
          <w:p>
            <w:r>
              <w:rPr>
                <w:rFonts w:ascii="Calibri" w:hAnsi="Calibri"/>
                <w:sz w:val="22"/>
              </w:rPr>
              <w:t>U.S. RevPAR +6.7%; Luxury/Upper-Upscale led growth; FY guidance raised to +3.5–4.5%</w:t>
            </w:r>
          </w:p>
        </w:tc>
        <w:tc>
          <w:tcPr>
            <w:tcW w:type="dxa" w:w="1728"/>
          </w:tcPr>
          <w:p>
            <w:r>
              <w:rPr>
                <w:rFonts w:ascii="Calibri" w:hAnsi="Calibri"/>
                <w:b/>
                <w:color w:val="30A46C"/>
                <w:sz w:val="22"/>
              </w:rPr>
              <w:t>↑ Positive</w:t>
            </w:r>
          </w:p>
        </w:tc>
        <w:tc>
          <w:tcPr>
            <w:tcW w:type="dxa" w:w="1728"/>
          </w:tcPr>
          <w:p>
            <w:r>
              <w:rPr>
                <w:rFonts w:ascii="Calibri" w:hAnsi="Calibri"/>
                <w:sz w:val="22"/>
              </w:rPr>
              <w:t>High — Direct (Luxury Focus)</w:t>
            </w:r>
          </w:p>
        </w:tc>
      </w:tr>
      <w:tr>
        <w:tc>
          <w:tcPr>
            <w:tcW w:type="dxa" w:w="1728"/>
          </w:tcPr>
          <w:p>
            <w:r>
              <w:rPr>
                <w:rFonts w:ascii="Calibri" w:hAnsi="Calibri"/>
                <w:sz w:val="22"/>
              </w:rPr>
              <w:t>PEB</w:t>
            </w:r>
          </w:p>
        </w:tc>
        <w:tc>
          <w:tcPr>
            <w:tcW w:type="dxa" w:w="1728"/>
          </w:tcPr>
          <w:p>
            <w:r>
              <w:rPr>
                <w:rFonts w:ascii="Calibri" w:hAnsi="Calibri"/>
                <w:sz w:val="22"/>
              </w:rPr>
              <w:t>Jul 29–30, 2026</w:t>
            </w:r>
          </w:p>
        </w:tc>
        <w:tc>
          <w:tcPr>
            <w:tcW w:type="dxa" w:w="1728"/>
          </w:tcPr>
          <w:p>
            <w:r>
              <w:rPr>
                <w:rFonts w:ascii="Calibri" w:hAnsi="Calibri"/>
                <w:sz w:val="22"/>
              </w:rPr>
              <w:t>July RevPAR +7–8%; broad demand strength; cost discipline; SF/LA bullish 2027 outlook</w:t>
            </w:r>
          </w:p>
        </w:tc>
        <w:tc>
          <w:tcPr>
            <w:tcW w:type="dxa" w:w="1728"/>
          </w:tcPr>
          <w:p>
            <w:r>
              <w:rPr>
                <w:rFonts w:ascii="Calibri" w:hAnsi="Calibri"/>
                <w:b/>
                <w:color w:val="30A46C"/>
                <w:sz w:val="22"/>
              </w:rPr>
              <w:t>↑ Positive</w:t>
            </w:r>
          </w:p>
        </w:tc>
        <w:tc>
          <w:tcPr>
            <w:tcW w:type="dxa" w:w="1728"/>
          </w:tcPr>
          <w:p>
            <w:r>
              <w:rPr>
                <w:rFonts w:ascii="Calibri" w:hAnsi="Calibri"/>
                <w:sz w:val="22"/>
              </w:rPr>
              <w:t>High — Direct (Similar Portfolio)</w:t>
            </w:r>
          </w:p>
        </w:tc>
      </w:tr>
      <w:tr>
        <w:tc>
          <w:tcPr>
            <w:tcW w:type="dxa" w:w="1728"/>
          </w:tcPr>
          <w:p>
            <w:r>
              <w:rPr>
                <w:rFonts w:ascii="Calibri" w:hAnsi="Calibri"/>
                <w:sz w:val="22"/>
              </w:rPr>
              <w:t>DRH</w:t>
            </w:r>
          </w:p>
        </w:tc>
        <w:tc>
          <w:tcPr>
            <w:tcW w:type="dxa" w:w="1728"/>
          </w:tcPr>
          <w:p>
            <w:r>
              <w:rPr>
                <w:rFonts w:ascii="Calibri" w:hAnsi="Calibri"/>
                <w:sz w:val="22"/>
              </w:rPr>
              <w:t>Jul 29–30, 2026</w:t>
            </w:r>
          </w:p>
        </w:tc>
        <w:tc>
          <w:tcPr>
            <w:tcW w:type="dxa" w:w="1728"/>
          </w:tcPr>
          <w:p>
            <w:r>
              <w:rPr>
                <w:rFonts w:ascii="Calibri" w:hAnsi="Calibri"/>
                <w:sz w:val="22"/>
              </w:rPr>
              <w:t>RevPAR +7%; expense growth 1.8%; FY guidance raised; improved H2 booking pace</w:t>
            </w:r>
          </w:p>
        </w:tc>
        <w:tc>
          <w:tcPr>
            <w:tcW w:type="dxa" w:w="1728"/>
          </w:tcPr>
          <w:p>
            <w:r>
              <w:rPr>
                <w:rFonts w:ascii="Calibri" w:hAnsi="Calibri"/>
                <w:b/>
                <w:color w:val="30A46C"/>
                <w:sz w:val="22"/>
              </w:rPr>
              <w:t>↑ Positive</w:t>
            </w:r>
          </w:p>
        </w:tc>
        <w:tc>
          <w:tcPr>
            <w:tcW w:type="dxa" w:w="1728"/>
          </w:tcPr>
          <w:p>
            <w:r>
              <w:rPr>
                <w:rFonts w:ascii="Calibri" w:hAnsi="Calibri"/>
                <w:sz w:val="22"/>
              </w:rPr>
              <w:t>High — Direct</w:t>
            </w:r>
          </w:p>
        </w:tc>
      </w:tr>
      <w:tr>
        <w:tc>
          <w:tcPr>
            <w:tcW w:type="dxa" w:w="1728"/>
          </w:tcPr>
          <w:p>
            <w:r>
              <w:rPr>
                <w:rFonts w:ascii="Calibri" w:hAnsi="Calibri"/>
                <w:sz w:val="22"/>
              </w:rPr>
              <w:t>BKNG</w:t>
            </w:r>
          </w:p>
        </w:tc>
        <w:tc>
          <w:tcPr>
            <w:tcW w:type="dxa" w:w="1728"/>
          </w:tcPr>
          <w:p>
            <w:r>
              <w:rPr>
                <w:rFonts w:ascii="Calibri" w:hAnsi="Calibri"/>
                <w:sz w:val="22"/>
              </w:rPr>
              <w:t>Aug 4, 2026</w:t>
            </w:r>
          </w:p>
        </w:tc>
        <w:tc>
          <w:tcPr>
            <w:tcW w:type="dxa" w:w="1728"/>
          </w:tcPr>
          <w:p>
            <w:r>
              <w:rPr>
                <w:rFonts w:ascii="Calibri" w:hAnsi="Calibri"/>
                <w:sz w:val="22"/>
              </w:rPr>
              <w:t>Bookings beat; Q3 demand resilient; travel demand healthy globally</w:t>
            </w:r>
          </w:p>
        </w:tc>
        <w:tc>
          <w:tcPr>
            <w:tcW w:type="dxa" w:w="1728"/>
          </w:tcPr>
          <w:p>
            <w:r>
              <w:rPr>
                <w:rFonts w:ascii="Calibri" w:hAnsi="Calibri"/>
                <w:b/>
                <w:color w:val="30A46C"/>
                <w:sz w:val="22"/>
              </w:rPr>
              <w:t>↑ Positive</w:t>
            </w:r>
          </w:p>
        </w:tc>
        <w:tc>
          <w:tcPr>
            <w:tcW w:type="dxa" w:w="1728"/>
          </w:tcPr>
          <w:p>
            <w:r>
              <w:rPr>
                <w:rFonts w:ascii="Calibri" w:hAnsi="Calibri"/>
                <w:sz w:val="22"/>
              </w:rPr>
              <w:t>Moderate — Macro Indicator</w:t>
            </w:r>
          </w:p>
        </w:tc>
      </w:tr>
    </w:tbl>
    <w:p>
      <w:r>
        <w:rPr>
          <w:rFonts w:ascii="Calibri" w:hAnsi="Calibri"/>
          <w:b/>
          <w:color w:val="525866"/>
          <w:sz w:val="22"/>
        </w:rPr>
        <w:t xml:space="preserve">Overall Peer Read-Through Assessment: </w:t>
      </w:r>
      <w:r>
        <w:rPr>
          <w:rFonts w:ascii="Calibri" w:hAnsi="Calibri"/>
          <w:color w:val="525866"/>
          <w:sz w:val="22"/>
        </w:rPr>
        <w:t>The peer commentary from the last 60 days is uniformly positive for HST's Q2 2026 print. All four hotel company peers (MAR, HLT, H, PEB) reported U.S. RevPAR growth of +5% or better in Q2, raised full-year guidance, and cited World Cup as a meaningful tailwind. The consistency of the beat-and-raise pattern across the peer group — combined with PEB's early Q3 data showing July RevPAR tracking +7%–8% — suggests HST's Q2 RevPAR could come in at or above the ~4.4% growth guided on the Q1 call. The key risk is that HST's World Cup exposure is concentrated in a handful of markets (New York, Miami) and the last-minute booking pattern creates uncertainty around actual fill rates. The absence of any negative pre-announcements from HST is a mild positive signal.</w:t>
      </w:r>
    </w:p>
    <w:p>
      <w:r>
        <w:rPr>
          <w:rFonts w:ascii="Calibri" w:hAnsi="Calibri"/>
          <w:i/>
          <w:color w:val="525866"/>
          <w:sz w:val="22"/>
        </w:rPr>
        <w:t>Sources: MAR Q2 2026 Earnings Release and Call (Aug 3, 2026); HLT Q2 2026 Earnings Release (Jul 28, 2026); H Q2 2026 Earnings Release (Jul 29–30, 2026); PEB Q2 2026 Earnings Call Transcript (Jul 30, 2026); DRH Q2 2026 Earnings Release (Jul 29–30, 2026); BKNG Q2 2026 Earnings (Aug 4,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